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rPr>
          <w:rFonts w:hint="default" w:ascii="Arial" w:hAnsi="Arial" w:cs="Arial"/>
          <w:b/>
          <w:bCs/>
          <w:sz w:val="28"/>
          <w:lang w:val="en-US"/>
        </w:rPr>
      </w:pPr>
      <w:bookmarkStart w:id="0" w:name="OLE_LINK26"/>
      <w:r>
        <w:rPr>
          <w:rFonts w:ascii="Arial" w:hAnsi="Arial" w:cs="Arial"/>
          <w:b/>
          <w:bCs/>
          <w:sz w:val="28"/>
        </w:rPr>
        <w:t>3GPP TSG RAN WG1 #106-e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>R1-210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6756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e-Meeting, August 16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27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2021</w:t>
      </w:r>
    </w:p>
    <w:p>
      <w:pPr>
        <w:rPr>
          <w:szCs w:val="20"/>
        </w:rPr>
      </w:pPr>
    </w:p>
    <w:p>
      <w:pPr>
        <w:tabs>
          <w:tab w:val="left" w:pos="1985"/>
          <w:tab w:val="right" w:pos="9072"/>
          <w:tab w:val="right" w:pos="10206"/>
        </w:tabs>
        <w:rPr>
          <w:rFonts w:hint="default" w:ascii="Arial" w:hAnsi="Arial" w:eastAsia="宋体"/>
          <w:b/>
          <w:sz w:val="22"/>
          <w:szCs w:val="20"/>
          <w:lang w:val="en-US" w:eastAsia="zh-CN"/>
        </w:rPr>
      </w:pPr>
      <w:r>
        <w:rPr>
          <w:rFonts w:hint="eastAsia" w:ascii="Arial" w:hAnsi="Arial"/>
          <w:b/>
          <w:sz w:val="22"/>
          <w:szCs w:val="20"/>
          <w:lang w:val="en-US" w:eastAsia="zh-CN"/>
        </w:rPr>
        <w:t>Agenda Item</w:t>
      </w:r>
      <w:r>
        <w:rPr>
          <w:rFonts w:ascii="Arial" w:hAnsi="Arial"/>
          <w:b/>
          <w:sz w:val="22"/>
          <w:szCs w:val="20"/>
        </w:rPr>
        <w:t xml:space="preserve">: </w:t>
      </w:r>
      <w:r>
        <w:rPr>
          <w:rFonts w:ascii="Arial" w:hAnsi="Arial"/>
          <w:b/>
          <w:sz w:val="22"/>
          <w:szCs w:val="20"/>
        </w:rPr>
        <w:tab/>
      </w:r>
      <w:r>
        <w:rPr>
          <w:rFonts w:hint="eastAsia" w:ascii="Arial" w:hAnsi="Arial"/>
          <w:b/>
          <w:sz w:val="22"/>
          <w:szCs w:val="20"/>
          <w:lang w:val="en-US" w:eastAsia="zh-CN"/>
        </w:rPr>
        <w:t>8.4.3</w:t>
      </w:r>
    </w:p>
    <w:p>
      <w:pPr>
        <w:tabs>
          <w:tab w:val="left" w:pos="1985"/>
          <w:tab w:val="right" w:pos="9072"/>
          <w:tab w:val="right" w:pos="10206"/>
        </w:tabs>
        <w:rPr>
          <w:rFonts w:hint="eastAsia" w:ascii="Arial" w:hAnsi="Arial" w:eastAsia="宋体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 xml:space="preserve">Source: </w:t>
      </w:r>
      <w:r>
        <w:rPr>
          <w:rFonts w:ascii="Arial" w:hAnsi="Arial"/>
          <w:b/>
          <w:sz w:val="22"/>
          <w:szCs w:val="20"/>
        </w:rPr>
        <w:tab/>
      </w:r>
      <w:r>
        <w:rPr>
          <w:rFonts w:hint="eastAsia" w:ascii="Arial" w:hAnsi="Arial"/>
          <w:b/>
          <w:sz w:val="22"/>
          <w:szCs w:val="20"/>
          <w:lang w:val="en-US" w:eastAsia="zh-CN"/>
        </w:rPr>
        <w:t>Baicells</w:t>
      </w:r>
    </w:p>
    <w:p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Title:</w:t>
      </w:r>
      <w:bookmarkStart w:id="1" w:name="Title"/>
      <w:bookmarkEnd w:id="1"/>
      <w:r>
        <w:rPr>
          <w:rFonts w:ascii="Arial" w:hAnsi="Arial"/>
          <w:b/>
          <w:sz w:val="22"/>
          <w:szCs w:val="20"/>
        </w:rPr>
        <w:tab/>
      </w:r>
      <w:r>
        <w:rPr>
          <w:rFonts w:hint="eastAsia" w:ascii="Arial" w:hAnsi="Arial"/>
          <w:b/>
          <w:sz w:val="22"/>
          <w:szCs w:val="20"/>
        </w:rPr>
        <w:t>Discussion on HARQ enhancement for NTN</w:t>
      </w:r>
    </w:p>
    <w:p>
      <w:pPr>
        <w:tabs>
          <w:tab w:val="left" w:pos="1985"/>
          <w:tab w:val="right" w:pos="9072"/>
          <w:tab w:val="right" w:pos="10206"/>
        </w:tabs>
        <w:rPr>
          <w:rFonts w:hint="default" w:ascii="Arial" w:hAnsi="Arial" w:cs="Arial"/>
          <w:b/>
          <w:kern w:val="2"/>
          <w:lang w:eastAsia="zh-CN"/>
        </w:rPr>
      </w:pPr>
      <w:r>
        <w:rPr>
          <w:rFonts w:ascii="Arial" w:hAnsi="Arial"/>
          <w:b/>
          <w:sz w:val="22"/>
          <w:szCs w:val="20"/>
        </w:rPr>
        <w:t>Document for:</w:t>
      </w:r>
      <w:r>
        <w:rPr>
          <w:rFonts w:ascii="Arial" w:hAnsi="Arial"/>
          <w:b/>
          <w:sz w:val="22"/>
          <w:szCs w:val="20"/>
        </w:rPr>
        <w:tab/>
      </w:r>
      <w:bookmarkStart w:id="2" w:name="DocumentFor"/>
      <w:bookmarkEnd w:id="2"/>
      <w:r>
        <w:rPr>
          <w:rFonts w:hint="eastAsia" w:ascii="Arial" w:hAnsi="Arial"/>
          <w:b/>
          <w:sz w:val="22"/>
          <w:szCs w:val="20"/>
          <w:lang w:val="en-US" w:eastAsia="zh-CN"/>
        </w:rPr>
        <w:t xml:space="preserve">Discussion and </w:t>
      </w:r>
      <w:r>
        <w:rPr>
          <w:rFonts w:ascii="Arial" w:hAnsi="Arial"/>
          <w:b/>
          <w:sz w:val="22"/>
          <w:szCs w:val="20"/>
        </w:rPr>
        <w:t>Decision</w:t>
      </w:r>
    </w:p>
    <w:bookmarkEnd w:id="0"/>
    <w:p>
      <w:pPr>
        <w:pBdr>
          <w:bottom w:val="single" w:color="auto" w:sz="4" w:space="1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>
      <w:pPr>
        <w:pStyle w:val="2"/>
      </w:pPr>
      <w:bookmarkStart w:id="3" w:name="_Ref124589705"/>
      <w:bookmarkStart w:id="4" w:name="_Ref129681862"/>
      <w:r>
        <w:t>Introduction</w:t>
      </w:r>
      <w:bookmarkEnd w:id="3"/>
      <w:bookmarkEnd w:id="4"/>
    </w:p>
    <w:p>
      <w:pPr>
        <w:autoSpaceDE/>
        <w:adjustRightInd/>
        <w:snapToGrid/>
        <w:rPr>
          <w:lang w:eastAsia="zh-CN"/>
        </w:rPr>
      </w:pPr>
      <w:r>
        <w:rPr>
          <w:lang w:eastAsia="zh-CN"/>
        </w:rPr>
        <w:t>In RAN1#10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-e, a couple of agreements have been achieved to enhance HARQ for NTN [1]: </w:t>
      </w:r>
    </w:p>
    <w:p>
      <w:pPr>
        <w:autoSpaceDE/>
        <w:adjustRightInd/>
        <w:snapToGrid/>
        <w:rPr>
          <w:rFonts w:eastAsia="PMingLiU"/>
          <w:lang w:eastAsia="zh-TW"/>
        </w:rPr>
      </w:pPr>
      <w:bookmarkStart w:id="14" w:name="_GoBack"/>
      <w:bookmarkEnd w:id="14"/>
      <w:r>
        <mc:AlternateContent>
          <mc:Choice Requires="wps">
            <w:drawing>
              <wp:inline distT="0" distB="0" distL="0" distR="0">
                <wp:extent cx="6120130" cy="4293870"/>
                <wp:effectExtent l="4445" t="4445" r="9525" b="6985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42940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For enhancement on the HARQ process indication, extend the HARQ process ID field up to 5 bits for DCI 0-2/1-2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For Type-2 HARQ codebook in NTN,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For the DCI of PDSCH with feedback-enabled HARQ processes, the C-DAI and T-DAI are the count of only feedback-enabled processes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FFS: Whether DCI for SPS release and any other DCIs are included in counting of C-DAI and T-DAI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Confirm the previous working assumption for  X = T_proc,1 where X is defined from the end of the reception of the last PDSCH or slot-aggregated PDSCH for a given HARQ process with disabled feedback to the start of the PDCCH carrying the DCI scheduling another PDSCH or set of slot-aggregated PDSCH for the given HARQ process.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For enhancement on the HARQ process indication at least for DCI 0-1/1-1, the Option-1 and Option-1a are lower priority for further discussion.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Discussion of enhancement(s) on the aggregated transmission (including repetition) is prioritized to improve the performance in NTN.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38.1pt;width:481.9pt;" fillcolor="#FFFFFF" filled="t" stroked="t" coordsize="21600,21600" o:gfxdata="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zv/yC9cAAAAFAQAADwAAAAAAAAABACAAAAAiAAAA&#10;ZHJzL2Rvd25yZXYueG1sUEsBAhQAFAAAAAgAh07iQPM5gIZBAgAAiAQAAA4AAAAAAAAAAQAgAAAA&#10;Jg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highlight w:val="green"/>
                          <w:lang w:eastAsia="zh-CN"/>
                        </w:rPr>
                        <w:t>Agreement:</w:t>
                      </w:r>
                    </w:p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For enhancement on the HARQ process indication, extend the HARQ process ID field up to 5 bits for DCI 0-2/1-2</w:t>
                      </w:r>
                    </w:p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highlight w:val="green"/>
                          <w:lang w:eastAsia="zh-CN"/>
                        </w:rPr>
                        <w:t>Agreement:</w:t>
                      </w:r>
                    </w:p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For Type-2 HARQ codebook in NTN, 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For the DCI of PDSCH with feedback-enabled HARQ processes, the C-DAI and T-DAI are the count of only feedback-enabled processes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FFS: Whether DCI for SPS release and any other DCIs are included in counting of C-DAI and T-DAI</w:t>
                      </w:r>
                    </w:p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highlight w:val="green"/>
                          <w:lang w:eastAsia="zh-CN"/>
                        </w:rPr>
                        <w:t>Agreement:</w:t>
                      </w:r>
                    </w:p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Confirm the previous working assumption for  X = T_proc,1 where X is defined from the end of the reception of the last PDSCH or slot-aggregated PDSCH for a given HARQ process with disabled feedback to the start of the PDCCH carrying the DCI scheduling another PDSCH or set of slot-aggregated PDSCH for the given HARQ process.</w:t>
                      </w:r>
                    </w:p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highlight w:val="green"/>
                          <w:lang w:eastAsia="zh-CN"/>
                        </w:rPr>
                        <w:t>Agreement:</w:t>
                      </w:r>
                    </w:p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For enhancement on the HARQ process indication at least for DCI 0-1/1-1, the Option-1 and Option-1a are lower priority for further discussion.</w:t>
                      </w:r>
                    </w:p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highlight w:val="green"/>
                          <w:lang w:eastAsia="zh-CN"/>
                        </w:rPr>
                        <w:t>Agreement:</w:t>
                      </w:r>
                    </w:p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Discussion of enhancement(s) on the aggregated transmission (including repetition) is prioritized to improve the performance in NTN.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r>
        <w:t>In this contribution, we provide some further considerations on HARQ enhancement for NTN.</w:t>
      </w:r>
    </w:p>
    <w:p/>
    <w:p>
      <w:pPr>
        <w:pStyle w:val="2"/>
      </w:pPr>
      <w:bookmarkStart w:id="5" w:name="_Ref129681832"/>
      <w:r>
        <w:t>HARQ enhancement in NTN</w:t>
      </w:r>
    </w:p>
    <w:p>
      <w:pPr>
        <w:pStyle w:val="3"/>
      </w:pPr>
      <w:r>
        <w:t xml:space="preserve">HARQ </w:t>
      </w:r>
      <w:r>
        <w:rPr>
          <w:lang w:eastAsia="zh-CN"/>
        </w:rPr>
        <w:t>p</w:t>
      </w:r>
      <w:r>
        <w:t xml:space="preserve">rocess </w:t>
      </w:r>
      <w:r>
        <w:rPr>
          <w:lang w:eastAsia="zh-CN"/>
        </w:rPr>
        <w:t>ID indication</w:t>
      </w:r>
    </w:p>
    <w:p>
      <w:pPr>
        <w:pStyle w:val="29"/>
        <w:rPr>
          <w:rFonts w:eastAsia="Yu Mincho" w:cs="Arial"/>
        </w:rPr>
      </w:pPr>
      <w:r>
        <w:rPr>
          <w:color w:val="000000"/>
        </w:rPr>
        <w:t xml:space="preserve">It was agreed </w:t>
      </w:r>
      <w:r>
        <w:t>that</w:t>
      </w:r>
      <w:r>
        <w:rPr>
          <w:color w:val="000000"/>
        </w:rPr>
        <w:t xml:space="preserve"> 32 is taken as the maximal supported HARQ process number for both uplink and downlink </w:t>
      </w:r>
      <w:r>
        <w:rPr>
          <w:lang w:eastAsia="zh-CN"/>
        </w:rPr>
        <w:t>[2]</w:t>
      </w:r>
      <w:r>
        <w:rPr>
          <w:color w:val="000000"/>
        </w:rPr>
        <w:t>. Since the maximum bit field size for HARQ process number in existing DCI formats is 4 bits, the HARQ process number indication needs to be enhanced.</w:t>
      </w:r>
      <w:r>
        <w:rPr>
          <w:rFonts w:cs="Arial"/>
        </w:rPr>
        <w:t xml:space="preserve"> To expand the number of process ID to 32, the 5 bits indication field in DCI are needed.</w:t>
      </w:r>
    </w:p>
    <w:p>
      <w:pPr>
        <w:rPr>
          <w:rFonts w:eastAsiaTheme="minorEastAsia"/>
          <w:lang w:val="en-GB"/>
        </w:rPr>
      </w:pPr>
      <w:r>
        <w:rPr>
          <w:rFonts w:hint="eastAsia"/>
          <w:color w:val="000000"/>
          <w:lang w:eastAsia="zh-CN"/>
        </w:rPr>
        <w:t>F</w:t>
      </w:r>
      <w:r>
        <w:rPr>
          <w:color w:val="000000"/>
          <w:lang w:eastAsia="zh-CN"/>
        </w:rPr>
        <w:t xml:space="preserve">or </w:t>
      </w:r>
      <w:r>
        <w:rPr>
          <w:rFonts w:eastAsiaTheme="minorEastAsia"/>
          <w:lang w:val="en-GB"/>
        </w:rPr>
        <w:t>non-fallback DCI</w:t>
      </w:r>
      <w:r>
        <w:rPr>
          <w:szCs w:val="20"/>
          <w:lang w:eastAsia="zh-CN"/>
        </w:rPr>
        <w:t xml:space="preserve"> 0-1/1-1 </w:t>
      </w:r>
      <w:r>
        <w:rPr>
          <w:rFonts w:eastAsiaTheme="minorEastAsia"/>
          <w:lang w:val="en-GB"/>
        </w:rPr>
        <w:t xml:space="preserve">cases, the aim </w:t>
      </w:r>
      <w:r>
        <w:rPr>
          <w:rFonts w:cs="Arial"/>
        </w:rPr>
        <w:t>is intended to support adding new features in NR for forward compatibility. T</w:t>
      </w:r>
      <w:r>
        <w:rPr>
          <w:szCs w:val="20"/>
          <w:lang w:eastAsia="zh-CN"/>
        </w:rPr>
        <w:t>he HARQ process ID field</w:t>
      </w:r>
      <w:r>
        <w:rPr>
          <w:rFonts w:cs="Arial"/>
        </w:rPr>
        <w:t xml:space="preserve"> can be configured with many different sizes depend</w:t>
      </w:r>
      <w:r>
        <w:rPr>
          <w:rFonts w:hint="eastAsia" w:cs="Arial"/>
          <w:lang w:eastAsia="zh-CN"/>
        </w:rPr>
        <w:t>ing</w:t>
      </w:r>
      <w:r>
        <w:rPr>
          <w:rFonts w:cs="Arial"/>
        </w:rPr>
        <w:t xml:space="preserve"> on the configuration. If extending the HARQ process ID field up to 5 bits, performance and specification impacts could be marginal, and the solution can be aligned with </w:t>
      </w:r>
      <w:r>
        <w:rPr>
          <w:lang w:val="en-GB" w:eastAsia="zh-CN"/>
        </w:rPr>
        <w:t xml:space="preserve">DCI 0-2/1-2 </w:t>
      </w:r>
      <w:r>
        <w:rPr>
          <w:rFonts w:hint="eastAsia"/>
          <w:lang w:val="en-GB" w:eastAsia="zh-CN"/>
        </w:rPr>
        <w:t xml:space="preserve">which </w:t>
      </w:r>
      <w:r>
        <w:rPr>
          <w:lang w:val="en-GB" w:eastAsia="zh-CN"/>
        </w:rPr>
        <w:t xml:space="preserve">have reached agreement. </w:t>
      </w:r>
      <w:r>
        <w:rPr>
          <w:rFonts w:eastAsiaTheme="minorEastAsia"/>
          <w:lang w:val="en-GB"/>
        </w:rPr>
        <w:t xml:space="preserve">On the other hand, compare with </w:t>
      </w:r>
      <w:r>
        <w:rPr>
          <w:rFonts w:cs="Arial"/>
        </w:rPr>
        <w:t>extending to 5 bits,</w:t>
      </w:r>
      <w:r>
        <w:rPr>
          <w:rFonts w:eastAsiaTheme="minorEastAsia"/>
          <w:lang w:val="en-GB"/>
        </w:rPr>
        <w:t xml:space="preserve"> reus</w:t>
      </w:r>
      <w:r>
        <w:rPr>
          <w:rFonts w:hint="eastAsia" w:eastAsiaTheme="minorEastAsia"/>
          <w:lang w:val="en-GB" w:eastAsia="zh-CN"/>
        </w:rPr>
        <w:t>ing</w:t>
      </w:r>
      <w:r>
        <w:rPr>
          <w:rFonts w:eastAsiaTheme="minorEastAsia"/>
          <w:lang w:val="en-GB"/>
        </w:rPr>
        <w:t xml:space="preserve"> 1 bit from other bit fields (e.g., the slot index) may not bring much performance gain</w:t>
      </w:r>
      <w:r>
        <w:rPr>
          <w:rFonts w:eastAsiaTheme="minorEastAsia"/>
          <w:lang w:val="en-GB" w:eastAsia="zh-CN"/>
        </w:rPr>
        <w:t xml:space="preserve"> and</w:t>
      </w:r>
      <w:r>
        <w:rPr>
          <w:rFonts w:eastAsiaTheme="minorEastAsia"/>
          <w:lang w:val="en-GB"/>
        </w:rPr>
        <w:t xml:space="preserve"> the scheduling flexibility at gNB can be restricted.</w: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cs="Arial"/>
        </w:rPr>
        <w:t xml:space="preserve">Based on this, the Option 3 is </w:t>
      </w:r>
      <w:r>
        <w:rPr>
          <w:rFonts w:eastAsiaTheme="minorEastAsia"/>
          <w:lang w:val="en-GB"/>
        </w:rPr>
        <w:t>a straightforward and clean way for supporting up to 32 HARQ processes, and align with the configurable features of non-fallback DCI format.</w:t>
      </w:r>
    </w:p>
    <w:p>
      <w:pPr>
        <w:widowControl w:val="0"/>
        <w:tabs>
          <w:tab w:val="left" w:pos="7172"/>
        </w:tabs>
        <w:autoSpaceDE/>
        <w:autoSpaceDN/>
        <w:adjustRightInd/>
      </w:pPr>
      <w:r>
        <w:rPr>
          <w:rFonts w:eastAsiaTheme="minorEastAsia"/>
          <w:lang w:val="en-GB"/>
        </w:rPr>
        <w:t>In the case of fallback DCI</w:t>
      </w:r>
      <w:r>
        <w:rPr>
          <w:szCs w:val="20"/>
          <w:lang w:eastAsia="zh-CN"/>
        </w:rPr>
        <w:t xml:space="preserve"> 0-0/1-0, </w:t>
      </w:r>
      <w:r>
        <w:rPr>
          <w:rFonts w:cs="Arial"/>
        </w:rPr>
        <w:t>t</w:t>
      </w:r>
      <w:r>
        <w:rPr>
          <w:szCs w:val="20"/>
          <w:lang w:eastAsia="zh-CN"/>
        </w:rPr>
        <w:t xml:space="preserve">he </w:t>
      </w:r>
      <w:bookmarkStart w:id="6" w:name="_Hlk78218106"/>
      <w:r>
        <w:rPr>
          <w:szCs w:val="20"/>
          <w:lang w:eastAsia="zh-CN"/>
        </w:rPr>
        <w:t>HARQ process ID field</w:t>
      </w:r>
      <w:bookmarkEnd w:id="6"/>
      <w:r>
        <w:rPr>
          <w:szCs w:val="20"/>
          <w:lang w:eastAsia="zh-CN"/>
        </w:rPr>
        <w:t xml:space="preserve"> has a fixed size of 4 bits. Note that it is </w:t>
      </w:r>
      <w:r>
        <w:rPr>
          <w:rFonts w:eastAsiaTheme="minorEastAsia"/>
          <w:lang w:val="en-GB"/>
        </w:rPr>
        <w:t>designed for supporting</w:t>
      </w:r>
      <w:r>
        <w:rPr>
          <w:rFonts w:cs="Arial"/>
        </w:rPr>
        <w:t xml:space="preserve"> basic NR operations since Rel-15. Thus, it</w:t>
      </w:r>
      <w:r>
        <w:rPr>
          <w:rFonts w:eastAsiaTheme="minorEastAsia"/>
          <w:lang w:val="en-GB"/>
        </w:rPr>
        <w:t>s not desirable to increase the payload for fallback DCI</w:t>
      </w:r>
      <w:r>
        <w:rPr>
          <w:szCs w:val="20"/>
          <w:lang w:eastAsia="zh-CN"/>
        </w:rPr>
        <w:t xml:space="preserve"> 0-0/1-0.</w:t>
      </w:r>
      <w:r>
        <w:rPr>
          <w:rFonts w:cs="Arial"/>
          <w:color w:val="FF0000"/>
        </w:rPr>
        <w:t xml:space="preserve"> </w:t>
      </w:r>
      <w:r>
        <w:rPr>
          <w:szCs w:val="20"/>
          <w:lang w:eastAsia="zh-CN"/>
        </w:rPr>
        <w:t>Moreover, f</w:t>
      </w:r>
      <w:r>
        <w:rPr>
          <w:rFonts w:cs="Arial"/>
        </w:rPr>
        <w:t>or backward compatibility, the HARQ process ID field in fallback DCI 0_0/1_0 should not be extended to accommodate 32 HARQ processes. In addition, since the 32 HARQ processes are used for high throughput, the scheduling can be carried out with non-fallback DCI 0_1/1_1</w:t>
      </w:r>
      <w:r>
        <w:rPr>
          <w:rFonts w:hint="eastAsia" w:cs="Arial"/>
        </w:rPr>
        <w:t>. Therefore, in NTN case, 16</w:t>
      </w:r>
      <w:r>
        <w:rPr>
          <w:rFonts w:cs="Arial"/>
        </w:rPr>
        <w:t xml:space="preserve"> processes</w:t>
      </w:r>
      <w:r>
        <w:rPr>
          <w:rFonts w:hint="eastAsia" w:cs="Arial"/>
        </w:rPr>
        <w:t xml:space="preserve"> are sufficient for fallback </w:t>
      </w:r>
      <w:r>
        <w:rPr>
          <w:rFonts w:cs="Arial"/>
        </w:rPr>
        <w:t>DCI 0_</w:t>
      </w:r>
      <w:r>
        <w:rPr>
          <w:rFonts w:hint="eastAsia" w:cs="Arial"/>
        </w:rPr>
        <w:t>0</w:t>
      </w:r>
      <w:r>
        <w:rPr>
          <w:rFonts w:cs="Arial"/>
        </w:rPr>
        <w:t>/1_</w:t>
      </w:r>
      <w:r>
        <w:rPr>
          <w:rFonts w:hint="eastAsia" w:cs="Arial"/>
        </w:rPr>
        <w:t>0.</w:t>
      </w:r>
      <w:r>
        <w:rPr>
          <w:rFonts w:cs="Arial"/>
        </w:rPr>
        <w:t xml:space="preserve"> </w:t>
      </w:r>
    </w:p>
    <w:p>
      <w:pPr>
        <w:autoSpaceDE/>
        <w:adjustRightInd/>
        <w:snapToGrid/>
        <w:spacing w:after="0"/>
        <w:rPr>
          <w:b/>
          <w:iCs/>
          <w:lang w:eastAsia="zh-CN"/>
        </w:rPr>
      </w:pPr>
      <w:r>
        <w:rPr>
          <w:b/>
          <w:iCs/>
          <w:lang w:eastAsia="zh-CN"/>
        </w:rPr>
        <w:t xml:space="preserve">Proposal </w:t>
      </w:r>
      <w:r>
        <w:rPr>
          <w:rFonts w:hint="eastAsia"/>
          <w:b/>
          <w:iCs/>
          <w:lang w:val="en-US" w:eastAsia="zh-CN"/>
        </w:rPr>
        <w:t>1</w:t>
      </w:r>
      <w:r>
        <w:rPr>
          <w:b/>
          <w:iCs/>
          <w:lang w:eastAsia="zh-CN"/>
        </w:rPr>
        <w:t>: If 32 HARQ processes are configured, extending the HARQ process ID field up to 5 bits for non-fallback DCI 0-1/1-1.</w:t>
      </w:r>
    </w:p>
    <w:p>
      <w:pPr>
        <w:autoSpaceDE/>
        <w:adjustRightInd/>
        <w:snapToGrid/>
        <w:spacing w:after="0"/>
        <w:rPr>
          <w:b/>
          <w:iCs/>
          <w:lang w:eastAsia="zh-CN"/>
        </w:rPr>
      </w:pPr>
      <w:r>
        <w:rPr>
          <w:b/>
          <w:iCs/>
          <w:lang w:eastAsia="zh-CN"/>
        </w:rPr>
        <w:t xml:space="preserve">Proposal </w:t>
      </w:r>
      <w:r>
        <w:rPr>
          <w:rFonts w:hint="eastAsia"/>
          <w:b/>
          <w:iCs/>
          <w:lang w:val="en-US" w:eastAsia="zh-CN"/>
        </w:rPr>
        <w:t>2</w:t>
      </w:r>
      <w:r>
        <w:rPr>
          <w:b/>
          <w:iCs/>
          <w:lang w:eastAsia="zh-CN"/>
        </w:rPr>
        <w:t>: No HARQ enhancement for DCI 0-0/1-0 is needed.</w:t>
      </w:r>
    </w:p>
    <w:p>
      <w:pPr>
        <w:pStyle w:val="29"/>
        <w:rPr>
          <w:color w:val="FF0000"/>
          <w:lang w:eastAsia="zh-CN"/>
        </w:rPr>
      </w:pPr>
    </w:p>
    <w:p>
      <w:pPr>
        <w:pStyle w:val="3"/>
        <w:tabs>
          <w:tab w:val="left" w:pos="420"/>
        </w:tabs>
      </w:pPr>
      <w:bookmarkStart w:id="7" w:name="OLE_LINK48"/>
      <w:r>
        <w:t xml:space="preserve">HARQ-ACK </w:t>
      </w:r>
      <w:r>
        <w:rPr>
          <w:lang w:eastAsia="zh-CN"/>
        </w:rPr>
        <w:t>c</w:t>
      </w:r>
      <w:r>
        <w:t xml:space="preserve">odebook </w:t>
      </w:r>
      <w:r>
        <w:rPr>
          <w:lang w:eastAsia="zh-CN"/>
        </w:rPr>
        <w:t>s</w:t>
      </w:r>
      <w:r>
        <w:t xml:space="preserve">ize </w:t>
      </w:r>
      <w:r>
        <w:rPr>
          <w:lang w:eastAsia="zh-CN"/>
        </w:rPr>
        <w:t>r</w:t>
      </w:r>
      <w:r>
        <w:t>eduction</w:t>
      </w:r>
    </w:p>
    <w:p>
      <w:pPr>
        <w:rPr>
          <w:lang w:eastAsia="zh-CN"/>
        </w:rPr>
      </w:pPr>
      <w:bookmarkStart w:id="8" w:name="OLE_LINK21"/>
      <w:bookmarkStart w:id="9" w:name="OLE_LINK22"/>
      <w:r>
        <w:rPr>
          <w:lang w:eastAsia="zh-CN"/>
        </w:rPr>
        <w:t>At RAN1#105-e, r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egarding the enhancement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on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Type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HARQ codebook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, </w:t>
      </w:r>
      <w:r>
        <w:rPr>
          <w:lang w:eastAsia="zh-CN"/>
        </w:rPr>
        <w:t xml:space="preserve">it has been agreed that the C-DAI and T-DAI are the count of only feedback-enabled processes for the DCI of PDSCH with feedback-enabled HARQ processes. The details of C-DAI and T-DAI counting for DCI of PDSCH with feedback-disabled HARQ processes,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several candidate op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tions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were proposed </w:t>
      </w:r>
      <w:r>
        <w:rPr>
          <w:rFonts w:hint="eastAsia" w:ascii="Times" w:hAnsi="Times" w:eastAsia="Batang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>a</w:t>
      </w:r>
      <w:r>
        <w:rPr>
          <w:rFonts w:ascii="Times" w:hAnsi="Times" w:eastAsia="Batang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>t RAN1#10</w:t>
      </w:r>
      <w:r>
        <w:rPr>
          <w:rFonts w:ascii="Times" w:hAnsi="Times" w:eastAsiaTheme="minorEastAsia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" w:hAnsi="Times" w:eastAsia="Batang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" w:hAnsi="Times" w:eastAsiaTheme="minorEastAsia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lang w:eastAsia="zh-CN"/>
        </w:rPr>
        <w:t>[1]</w:t>
      </w:r>
      <w:r>
        <w:rPr>
          <w:rFonts w:eastAsiaTheme="minorEastAsia"/>
          <w:lang w:eastAsia="zh-CN"/>
        </w:rPr>
        <w:t>:</w:t>
      </w:r>
    </w:p>
    <w:p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Option-1: The C-DAI and T-DAI are the count of feedback-enabled processes, despite they are not incremented </w:t>
      </w:r>
    </w:p>
    <w:p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Option-2: The C-DAI and T-DAI are a reserved value that can be ignored by the UE </w:t>
      </w:r>
    </w:p>
    <w:p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Option-3: The C-DAI/T-DAI are the count of feedback-disabled processes</w:t>
      </w:r>
    </w:p>
    <w:p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Option-4: The C-DAI is a reserved value that can be ignored by the UE and T-DAI is the count of feedback-enabled processes despite it not incremented.</w:t>
      </w:r>
    </w:p>
    <w:p>
      <w:pPr>
        <w:rPr>
          <w:lang w:eastAsia="zh-CN"/>
        </w:rPr>
      </w:pPr>
      <w:r>
        <w:rPr>
          <w:rFonts w:hint="default"/>
          <w:lang w:val="en-US" w:eastAsia="zh-CN"/>
        </w:rPr>
        <w:t>D</w:t>
      </w:r>
      <w:r>
        <w:rPr>
          <w:lang w:eastAsia="zh-CN"/>
        </w:rPr>
        <w:t>ifferen</w:t>
      </w:r>
      <w:r>
        <w:rPr>
          <w:rFonts w:hint="default"/>
          <w:lang w:val="en-US" w:eastAsia="zh-CN"/>
        </w:rPr>
        <w:t>t</w:t>
      </w:r>
      <w:r>
        <w:rPr>
          <w:lang w:eastAsia="zh-CN"/>
        </w:rPr>
        <w:t xml:space="preserve"> </w:t>
      </w:r>
      <w:r>
        <w:rPr>
          <w:rFonts w:hint="default"/>
          <w:lang w:val="en-US"/>
        </w:rPr>
        <w:t>o</w:t>
      </w:r>
      <w:r>
        <w:t>ptions</w:t>
      </w:r>
      <w:r>
        <w:rPr>
          <w:iCs/>
        </w:rPr>
        <w:t xml:space="preserve"> are shown in </w:t>
      </w:r>
      <w:r>
        <w:rPr>
          <w:iCs/>
        </w:rPr>
        <w:fldChar w:fldCharType="begin"/>
      </w:r>
      <w:r>
        <w:rPr>
          <w:iCs/>
        </w:rPr>
        <w:instrText xml:space="preserve"> REF _Ref60150085 \h </w:instrText>
      </w:r>
      <w:r>
        <w:rPr>
          <w:iCs/>
        </w:rPr>
        <w:fldChar w:fldCharType="separate"/>
      </w:r>
      <w:r>
        <w:t>Figure 1</w:t>
      </w:r>
      <w:r>
        <w:rPr>
          <w:iCs/>
        </w:rPr>
        <w:fldChar w:fldCharType="end"/>
      </w:r>
      <w:r>
        <w:rPr>
          <w:iCs/>
        </w:rPr>
        <w:t>.</w:t>
      </w:r>
      <w:r>
        <w:rPr>
          <w:rFonts w:hint="eastAsia"/>
          <w:lang w:eastAsia="zh-CN"/>
        </w:rPr>
        <w:t xml:space="preserve"> </w:t>
      </w:r>
    </w:p>
    <w:p>
      <w:pPr>
        <w:jc w:val="center"/>
        <w:rPr>
          <w:lang w:eastAsia="zh-CN"/>
        </w:rPr>
      </w:pPr>
      <w:r>
        <w:object>
          <v:shape id="_x0000_i1025" o:spt="75" type="#_x0000_t75" style="height:130.75pt;width:315.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jc w:val="center"/>
        <w:rPr>
          <w:b/>
          <w:bCs/>
          <w:lang w:eastAsia="zh-CN"/>
        </w:rPr>
      </w:pPr>
      <w:bookmarkStart w:id="10" w:name="_Ref60150085"/>
      <w:r>
        <w:rPr>
          <w:b/>
          <w:bCs/>
        </w:rPr>
        <w:t xml:space="preserve">Figure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Figure \* ARABIC </w:instrText>
      </w:r>
      <w:r>
        <w:rPr>
          <w:b/>
          <w:bCs/>
        </w:rPr>
        <w:fldChar w:fldCharType="separate"/>
      </w:r>
      <w:r>
        <w:rPr>
          <w:b/>
          <w:bCs/>
        </w:rPr>
        <w:t>1</w:t>
      </w:r>
      <w:r>
        <w:rPr>
          <w:b/>
          <w:bCs/>
        </w:rPr>
        <w:fldChar w:fldCharType="end"/>
      </w:r>
      <w:bookmarkEnd w:id="10"/>
      <w:r>
        <w:rPr>
          <w:b/>
          <w:bCs/>
        </w:rPr>
        <w:t>: Different Options of C-DAI and T-DAI</w:t>
      </w:r>
      <w:r>
        <w:rPr>
          <w:b/>
          <w:bCs/>
          <w:lang w:eastAsia="zh-CN"/>
        </w:rPr>
        <w:t>.</w:t>
      </w:r>
    </w:p>
    <w:p>
      <w:r>
        <w:rPr>
          <w:lang w:eastAsia="zh-CN"/>
        </w:rPr>
        <w:t>In DCI for DL scheduling, the T-DAI field denotes the total number of {serving cell, PDCCH monitoring occasion}-pair(s) are used to avoid DCI miss detection of dynamic scheduling and SPS release. Thus, compare to Option 2, the Option 1 is more reliable, which</w:t>
      </w:r>
      <w:r>
        <w:rPr>
          <w:iCs/>
        </w:rPr>
        <w:t xml:space="preserve"> benefits in addressing the last DCI missing issue</w:t>
      </w:r>
      <w:r>
        <w:rPr>
          <w:lang w:eastAsia="zh-CN"/>
        </w:rPr>
        <w:t xml:space="preserve">. </w:t>
      </w:r>
    </w:p>
    <w:p>
      <w:pPr>
        <w:rPr>
          <w:lang w:eastAsia="zh-CN"/>
        </w:rPr>
      </w:pPr>
      <w:r>
        <w:rPr>
          <w:rFonts w:hint="default"/>
          <w:lang w:val="en-US" w:eastAsia="zh-CN"/>
        </w:rPr>
        <w:t>E</w:t>
      </w:r>
      <w:r>
        <w:rPr>
          <w:lang w:eastAsia="zh-CN"/>
        </w:rPr>
        <w:t>xample</w:t>
      </w:r>
      <w:r>
        <w:rPr>
          <w:rFonts w:hint="default"/>
          <w:lang w:val="en-US" w:eastAsia="zh-CN"/>
        </w:rPr>
        <w:t>s</w:t>
      </w:r>
      <w:r>
        <w:rPr>
          <w:lang w:eastAsia="zh-CN"/>
        </w:rPr>
        <w:t xml:space="preserve"> of </w:t>
      </w:r>
      <w:r>
        <w:t>O</w:t>
      </w:r>
      <w:r>
        <w:rPr>
          <w:lang w:eastAsia="zh-CN"/>
        </w:rPr>
        <w:t>ption</w:t>
      </w:r>
      <w:r>
        <w:t xml:space="preserve"> </w:t>
      </w:r>
      <w:r>
        <w:rPr>
          <w:lang w:eastAsia="zh-CN"/>
        </w:rPr>
        <w:t xml:space="preserve">1 and </w:t>
      </w:r>
      <w:r>
        <w:t>O</w:t>
      </w:r>
      <w:r>
        <w:rPr>
          <w:lang w:eastAsia="zh-CN"/>
        </w:rPr>
        <w:t>ption</w:t>
      </w:r>
      <w:r>
        <w:t xml:space="preserve"> </w:t>
      </w:r>
      <w:r>
        <w:rPr>
          <w:lang w:eastAsia="zh-CN"/>
        </w:rPr>
        <w:t xml:space="preserve">2 are as shown in the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_Ref67417843 \h  \* MERGEFORMAT </w:instrText>
      </w:r>
      <w:r>
        <w:rPr>
          <w:lang w:eastAsia="zh-CN"/>
        </w:rPr>
        <w:fldChar w:fldCharType="separate"/>
      </w:r>
      <w:r>
        <w:rPr>
          <w:b/>
        </w:rPr>
        <w:t>Figure 2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_Ref67417843 \h  \* MERGEFORMAT </w:instrText>
      </w:r>
      <w:r>
        <w:rPr>
          <w:lang w:eastAsia="zh-CN"/>
        </w:rPr>
        <w:fldChar w:fldCharType="separate"/>
      </w:r>
      <w:r>
        <w:rPr>
          <w:b/>
        </w:rPr>
        <w:t>Figure 3</w:t>
      </w:r>
      <w:r>
        <w:rPr>
          <w:lang w:eastAsia="zh-CN"/>
        </w:rPr>
        <w:fldChar w:fldCharType="end"/>
      </w:r>
      <w:r>
        <w:rPr>
          <w:lang w:eastAsia="zh-CN"/>
        </w:rPr>
        <w:t xml:space="preserve"> [3].</w:t>
      </w:r>
      <w:r>
        <w:rPr>
          <w:rFonts w:ascii="Times" w:hAnsi="Times" w:eastAsiaTheme="minorEastAsia"/>
          <w:lang w:val="en-GB" w:eastAsia="zh-CN"/>
        </w:rPr>
        <w:t xml:space="preserve"> If the DCI in </w:t>
      </w:r>
      <w:r>
        <w:rPr>
          <w:lang w:eastAsia="zh-CN"/>
        </w:rPr>
        <w:t>monitor occasion m=3</w:t>
      </w:r>
      <w:r>
        <w:rPr>
          <w:rFonts w:ascii="Times" w:hAnsi="Times" w:eastAsiaTheme="minorEastAsia"/>
          <w:lang w:val="en-GB" w:eastAsia="zh-CN"/>
        </w:rPr>
        <w:t xml:space="preserve"> is missed</w:t>
      </w:r>
      <w:r>
        <w:rPr>
          <w:lang w:eastAsia="zh-CN"/>
        </w:rPr>
        <w:t xml:space="preserve">, for </w:t>
      </w:r>
      <w:r>
        <w:t>O</w:t>
      </w:r>
      <w:r>
        <w:rPr>
          <w:lang w:eastAsia="zh-CN"/>
        </w:rPr>
        <w:t>ption</w:t>
      </w:r>
      <w:r>
        <w:t xml:space="preserve"> </w:t>
      </w:r>
      <w:r>
        <w:rPr>
          <w:lang w:eastAsia="zh-CN"/>
        </w:rPr>
        <w:t xml:space="preserve">1 and </w:t>
      </w:r>
      <w:r>
        <w:t>O</w:t>
      </w:r>
      <w:r>
        <w:rPr>
          <w:lang w:eastAsia="zh-CN"/>
        </w:rPr>
        <w:t>ption</w:t>
      </w:r>
      <w:r>
        <w:t xml:space="preserve"> </w:t>
      </w:r>
      <w:r>
        <w:rPr>
          <w:lang w:eastAsia="zh-CN"/>
        </w:rPr>
        <w:t xml:space="preserve">2, the UE would </w:t>
      </w:r>
      <w:r>
        <w:rPr>
          <w:lang w:eastAsia="ja-JP"/>
        </w:rPr>
        <w:t xml:space="preserve">determine </w:t>
      </w:r>
      <w:r>
        <w:rPr>
          <w:lang w:eastAsia="zh-CN"/>
        </w:rPr>
        <w:t>the HARQ-ACK bits for the dynamic codebook as 5 and 4, respectively.</w:t>
      </w:r>
      <w:r>
        <w:t xml:space="preserve"> </w:t>
      </w:r>
      <w:r>
        <w:rPr>
          <w:lang w:eastAsia="zh-CN"/>
        </w:rPr>
        <w:t xml:space="preserve">Obviously, for </w:t>
      </w:r>
      <w:r>
        <w:t>O</w:t>
      </w:r>
      <w:r>
        <w:rPr>
          <w:lang w:eastAsia="zh-CN"/>
        </w:rPr>
        <w:t>ption</w:t>
      </w:r>
      <w:r>
        <w:t xml:space="preserve"> </w:t>
      </w:r>
      <w:r>
        <w:rPr>
          <w:lang w:eastAsia="zh-CN"/>
        </w:rPr>
        <w:t xml:space="preserve">2, this would lead to </w:t>
      </w:r>
      <w:r>
        <w:rPr>
          <w:lang w:eastAsia="ja-JP"/>
        </w:rPr>
        <w:t>HARQ-ACK codebook size misalignment</w:t>
      </w:r>
      <w:r>
        <w:rPr>
          <w:lang w:eastAsia="zh-CN"/>
        </w:rPr>
        <w:t xml:space="preserve"> between gNB and UE</w:t>
      </w:r>
      <w:r>
        <w:rPr>
          <w:lang w:eastAsia="ja-JP"/>
        </w:rPr>
        <w:t xml:space="preserve"> due to UE’s misdetection of the DCI</w:t>
      </w:r>
      <w:r>
        <w:rPr>
          <w:lang w:eastAsia="zh-CN"/>
        </w:rPr>
        <w:t xml:space="preserve">. Thus, we support Option 1, i.e. the C-DAI and T-DAI are the count of feedback-enabled processes, despite they are not incremented. </w:t>
      </w:r>
      <w:bookmarkStart w:id="11" w:name="_Hlk78322523"/>
    </w:p>
    <w:bookmarkEnd w:id="11"/>
    <w:p>
      <w:pPr>
        <w:jc w:val="center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3664585" cy="1807210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4585" cy="180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</w:rPr>
        <w:t xml:space="preserve">Figure </w:t>
      </w: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SEQ Figure \* ARABIC </w:instrText>
      </w:r>
      <w:r>
        <w:rPr>
          <w:b/>
          <w:sz w:val="20"/>
          <w:szCs w:val="20"/>
        </w:rPr>
        <w:fldChar w:fldCharType="separate"/>
      </w:r>
      <w:r>
        <w:rPr>
          <w:b/>
          <w:sz w:val="20"/>
          <w:szCs w:val="20"/>
        </w:rPr>
        <w:t>2</w:t>
      </w:r>
      <w:r>
        <w:rPr>
          <w:b/>
          <w:sz w:val="20"/>
          <w:szCs w:val="20"/>
        </w:rPr>
        <w:fldChar w:fldCharType="end"/>
      </w:r>
      <w:r>
        <w:rPr>
          <w:b/>
          <w:bCs/>
        </w:rPr>
        <w:t xml:space="preserve">: </w:t>
      </w:r>
      <w:r>
        <w:rPr>
          <w:b/>
          <w:sz w:val="20"/>
          <w:szCs w:val="20"/>
          <w:lang w:eastAsia="zh-CN"/>
        </w:rPr>
        <w:t>Type2 codebook with disabling and enabling HARQ-ACK feedback with Option 1</w:t>
      </w:r>
    </w:p>
    <w:p>
      <w:pPr>
        <w:jc w:val="center"/>
        <w:rPr>
          <w:b/>
          <w:sz w:val="20"/>
          <w:szCs w:val="20"/>
          <w:lang w:eastAsia="zh-CN"/>
        </w:rPr>
      </w:pPr>
    </w:p>
    <w:p>
      <w:pPr>
        <w:jc w:val="center"/>
        <w:rPr>
          <w:lang w:eastAsia="zh-CN"/>
        </w:rPr>
      </w:pPr>
      <w:r>
        <w:rPr>
          <w:color w:val="FF0000"/>
          <w:lang w:eastAsia="zh-CN"/>
        </w:rPr>
        <w:drawing>
          <wp:inline distT="0" distB="0" distL="0" distR="0">
            <wp:extent cx="3578860" cy="174307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886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</w:rPr>
        <w:t>Figure 3</w:t>
      </w:r>
      <w:r>
        <w:rPr>
          <w:b/>
          <w:bCs/>
        </w:rPr>
        <w:t xml:space="preserve">: </w:t>
      </w:r>
      <w:r>
        <w:rPr>
          <w:b/>
          <w:sz w:val="20"/>
          <w:szCs w:val="20"/>
          <w:lang w:eastAsia="zh-CN"/>
        </w:rPr>
        <w:t>Type2 codebook with disabling and enabling HARQ-ACK feedback with Option 2</w:t>
      </w:r>
    </w:p>
    <w:p>
      <w:pPr>
        <w:rPr>
          <w:lang w:eastAsia="zh-CN"/>
        </w:rPr>
      </w:pPr>
      <w:r>
        <w:rPr>
          <w:rFonts w:hint="eastAsia"/>
          <w:lang w:eastAsia="zh-CN"/>
        </w:rPr>
        <w:t>Regarding</w:t>
      </w:r>
      <w:r>
        <w:rPr>
          <w:lang w:eastAsia="zh-CN"/>
        </w:rPr>
        <w:t xml:space="preserve"> Option 3, </w:t>
      </w:r>
      <w:r>
        <w:rPr>
          <w:rFonts w:hint="eastAsia"/>
          <w:lang w:eastAsia="zh-CN"/>
        </w:rPr>
        <w:t xml:space="preserve">it can provide additional information on whether DCI for disabled HARQ process is missed by a UE.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</w:t>
      </w:r>
      <w:r>
        <w:rPr>
          <w:rFonts w:hint="default"/>
          <w:lang w:val="en-US" w:eastAsia="zh-CN"/>
        </w:rPr>
        <w:t>b</w:t>
      </w:r>
      <w:r>
        <w:rPr>
          <w:lang w:eastAsia="zh-CN"/>
        </w:rPr>
        <w:t>enefi</w:t>
      </w:r>
      <w:r>
        <w:rPr>
          <w:rFonts w:hint="default"/>
          <w:lang w:val="en-US" w:eastAsia="zh-CN"/>
        </w:rPr>
        <w:t>ts</w:t>
      </w:r>
      <w:r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scheduling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 xml:space="preserve">are </w:t>
      </w:r>
      <w:r>
        <w:rPr>
          <w:lang w:eastAsia="zh-CN"/>
        </w:rPr>
        <w:t xml:space="preserve">not clear </w:t>
      </w:r>
      <w:r>
        <w:rPr>
          <w:rFonts w:hint="eastAsia"/>
          <w:lang w:eastAsia="zh-CN"/>
        </w:rPr>
        <w:t>because of no HARQ-ACK feedback for disabled HARQ process.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Regarding</w:t>
      </w:r>
      <w:r>
        <w:rPr>
          <w:lang w:eastAsia="zh-CN"/>
        </w:rPr>
        <w:t xml:space="preserve"> Option 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same</w:t>
      </w:r>
      <w:r>
        <w:rPr>
          <w:lang w:eastAsia="zh-CN"/>
        </w:rPr>
        <w:t xml:space="preserve"> as to Option 1, but reserve </w:t>
      </w:r>
      <w:r>
        <w:rPr>
          <w:lang w:eastAsia="ja-JP"/>
        </w:rPr>
        <w:t xml:space="preserve">C-DAI field in the DCI that schedules feedback-disabled process. </w:t>
      </w:r>
      <w:r>
        <w:rPr>
          <w:rFonts w:hint="default"/>
          <w:lang w:val="en-US" w:eastAsia="ja-JP"/>
        </w:rPr>
        <w:t>B</w:t>
      </w:r>
      <w:r>
        <w:rPr>
          <w:kern w:val="2"/>
          <w:lang w:eastAsia="zh-CN"/>
        </w:rPr>
        <w:t>enefi</w:t>
      </w:r>
      <w:r>
        <w:rPr>
          <w:rFonts w:hint="default"/>
          <w:kern w:val="2"/>
          <w:lang w:val="en-US" w:eastAsia="zh-CN"/>
        </w:rPr>
        <w:t>ts</w:t>
      </w:r>
      <w:r>
        <w:rPr>
          <w:kern w:val="2"/>
          <w:lang w:eastAsia="zh-CN"/>
        </w:rPr>
        <w:t xml:space="preserve"> </w:t>
      </w:r>
      <w:r>
        <w:rPr>
          <w:lang w:eastAsia="ja-JP"/>
        </w:rPr>
        <w:t xml:space="preserve">for this Option </w:t>
      </w:r>
      <w:r>
        <w:rPr>
          <w:rFonts w:hint="default"/>
          <w:lang w:val="en-US" w:eastAsia="ja-JP"/>
        </w:rPr>
        <w:t>are</w:t>
      </w:r>
      <w:r>
        <w:rPr>
          <w:lang w:eastAsia="ja-JP"/>
        </w:rPr>
        <w:t xml:space="preserve"> not clear (the</w:t>
      </w:r>
      <w:r>
        <w:t xml:space="preserve"> </w:t>
      </w:r>
      <w:r>
        <w:rPr>
          <w:lang w:eastAsia="ja-JP"/>
        </w:rPr>
        <w:t>reserved</w:t>
      </w:r>
      <w:r>
        <w:t xml:space="preserve"> </w:t>
      </w:r>
      <w:r>
        <w:rPr>
          <w:lang w:eastAsia="ja-JP"/>
        </w:rPr>
        <w:t xml:space="preserve">C-DAI field may be used for other purpose in Rel.17 or later release). </w:t>
      </w:r>
    </w:p>
    <w:p>
      <w:pPr>
        <w:autoSpaceDE/>
        <w:adjustRightInd/>
        <w:snapToGrid/>
        <w:spacing w:after="0"/>
        <w:rPr>
          <w:b/>
          <w:iCs/>
          <w:lang w:eastAsia="zh-CN"/>
        </w:rPr>
      </w:pPr>
      <w:r>
        <w:rPr>
          <w:b/>
          <w:iCs/>
          <w:lang w:eastAsia="zh-CN"/>
        </w:rPr>
        <w:t xml:space="preserve">Proposal </w:t>
      </w:r>
      <w:r>
        <w:rPr>
          <w:rFonts w:hint="eastAsia"/>
          <w:b/>
          <w:iCs/>
          <w:lang w:val="en-US" w:eastAsia="zh-CN"/>
        </w:rPr>
        <w:t>3</w:t>
      </w:r>
      <w:r>
        <w:rPr>
          <w:b/>
          <w:iCs/>
          <w:lang w:eastAsia="zh-CN"/>
        </w:rPr>
        <w:t xml:space="preserve">: </w:t>
      </w:r>
      <w:r>
        <w:rPr>
          <w:rFonts w:hint="eastAsia"/>
          <w:b/>
          <w:iCs/>
          <w:lang w:eastAsia="zh-CN"/>
        </w:rPr>
        <w:t>T</w:t>
      </w:r>
      <w:r>
        <w:rPr>
          <w:b/>
          <w:iCs/>
          <w:lang w:eastAsia="zh-CN"/>
        </w:rPr>
        <w:t xml:space="preserve">ype </w:t>
      </w:r>
      <w:r>
        <w:rPr>
          <w:rFonts w:hint="eastAsia"/>
          <w:b/>
          <w:iCs/>
          <w:lang w:eastAsia="zh-CN"/>
        </w:rPr>
        <w:t xml:space="preserve">2 HARQ-ACK codebook can be enhanced, and </w:t>
      </w:r>
      <w:r>
        <w:rPr>
          <w:b/>
          <w:iCs/>
          <w:lang w:eastAsia="zh-CN"/>
        </w:rPr>
        <w:t>the C-DAI and T-DAI are the count of feedback-enabled processes despite they are not incremented.</w:t>
      </w:r>
    </w:p>
    <w:bookmarkEnd w:id="8"/>
    <w:bookmarkEnd w:id="9"/>
    <w:p>
      <w:pPr>
        <w:autoSpaceDE/>
        <w:autoSpaceDN/>
        <w:adjustRightInd/>
        <w:snapToGrid/>
        <w:spacing w:after="0"/>
        <w:jc w:val="left"/>
        <w:rPr>
          <w:sz w:val="20"/>
          <w:szCs w:val="20"/>
          <w:highlight w:val="yellow"/>
          <w:lang w:eastAsia="zh-CN"/>
        </w:rPr>
      </w:pPr>
    </w:p>
    <w:p>
      <w:pPr>
        <w:autoSpaceDE/>
        <w:adjustRightInd/>
        <w:snapToGrid/>
        <w:spacing w:after="0"/>
        <w:rPr>
          <w:b/>
          <w:iCs/>
          <w:lang w:eastAsia="zh-CN"/>
        </w:rPr>
      </w:pPr>
      <w:r>
        <w:rPr>
          <w:lang w:eastAsia="zh-CN"/>
        </w:rPr>
        <w:t xml:space="preserve">Type 1 is semi-static HARQ-ACK codebook, </w:t>
      </w:r>
      <w:r>
        <w:t>meaning that</w:t>
      </w:r>
      <w:r>
        <w:rPr>
          <w:lang w:eastAsia="zh-CN"/>
        </w:rPr>
        <w:t xml:space="preserve"> the size of the type 1 HARQ-ACK codebook is fixed based on RRC configured parameters and should not be change</w:t>
      </w:r>
      <w:r>
        <w:rPr>
          <w:rFonts w:hint="default"/>
          <w:lang w:val="en-US" w:eastAsia="zh-CN"/>
        </w:rPr>
        <w:t>d</w:t>
      </w:r>
      <w:r>
        <w:rPr>
          <w:lang w:eastAsia="zh-CN"/>
        </w:rPr>
        <w:t xml:space="preserve"> dynamically. In NTN sense, the </w:t>
      </w:r>
      <w:r>
        <w:rPr>
          <w:lang w:val="en-GB"/>
        </w:rPr>
        <w:t xml:space="preserve">redundancy overhead of </w:t>
      </w:r>
      <w:r>
        <w:rPr>
          <w:lang w:eastAsia="zh-CN"/>
        </w:rPr>
        <w:t xml:space="preserve">semi-static HARQ-ACK codebook which </w:t>
      </w:r>
      <w:r>
        <w:rPr>
          <w:lang w:val="en-GB"/>
        </w:rPr>
        <w:t xml:space="preserve">assumes that all PDSCH occasions, i.e., HARQ processes need ACK/NACK feedback </w:t>
      </w:r>
      <w:r>
        <w:rPr>
          <w:lang w:eastAsia="zh-CN"/>
        </w:rPr>
        <w:t xml:space="preserve">would be too large when </w:t>
      </w:r>
      <w:r>
        <w:rPr>
          <w:rFonts w:eastAsiaTheme="minorEastAsia"/>
          <w:lang w:val="en-GB" w:eastAsia="zh-CN"/>
        </w:rPr>
        <w:t>only a few HARQ processes are enabled</w:t>
      </w:r>
      <w:r>
        <w:rPr>
          <w:lang w:eastAsia="zh-CN"/>
        </w:rPr>
        <w:t>. For example, if all</w:t>
      </w:r>
      <w:r>
        <w:rPr>
          <w:lang w:val="en-GB" w:eastAsia="zh-CN"/>
        </w:rPr>
        <w:t xml:space="preserve"> serving cells in one </w:t>
      </w:r>
      <w:r>
        <w:rPr>
          <w:lang w:val="en-GB"/>
        </w:rPr>
        <w:t>occasion are configured for HARQ feedback disabled</w:t>
      </w:r>
      <w:r>
        <w:rPr>
          <w:lang w:val="en-GB" w:eastAsia="zh-CN"/>
        </w:rPr>
        <w:t xml:space="preserve">, the ACK/NACK information also need to reserve that will increase the </w:t>
      </w:r>
      <w:r>
        <w:t xml:space="preserve">unnecessary </w:t>
      </w:r>
      <w:r>
        <w:rPr>
          <w:lang w:val="en-GB"/>
        </w:rPr>
        <w:t>overhead</w:t>
      </w:r>
      <w:r>
        <w:rPr>
          <w:lang w:val="en-GB" w:eastAsia="zh-CN"/>
        </w:rPr>
        <w:t xml:space="preserve">. </w:t>
      </w:r>
      <w:r>
        <w:rPr>
          <w:lang w:eastAsia="zh-CN"/>
        </w:rPr>
        <w:t xml:space="preserve">Thus, we support to reduce the semi-static </w:t>
      </w:r>
      <w:r>
        <w:rPr>
          <w:rFonts w:eastAsiaTheme="minorEastAsia"/>
          <w:lang w:val="en-GB" w:eastAsia="zh-CN"/>
        </w:rPr>
        <w:t>HARQ-ACK codebook size by ignor</w:t>
      </w:r>
      <w:r>
        <w:rPr>
          <w:rFonts w:hint="default" w:eastAsiaTheme="minorEastAsia"/>
          <w:lang w:val="en-US" w:eastAsia="zh-CN"/>
        </w:rPr>
        <w:t>ing</w:t>
      </w:r>
      <w:r>
        <w:rPr>
          <w:lang w:val="en-GB"/>
        </w:rPr>
        <w:t xml:space="preserve"> </w:t>
      </w:r>
      <w:r>
        <w:t xml:space="preserve">the </w:t>
      </w:r>
      <w:r>
        <w:rPr>
          <w:rFonts w:eastAsiaTheme="minorEastAsia"/>
          <w:lang w:val="en-GB" w:eastAsia="zh-CN"/>
        </w:rPr>
        <w:t>transmission occasions</w:t>
      </w:r>
      <w:r>
        <w:rPr>
          <w:lang w:val="en-GB" w:eastAsia="zh-CN"/>
        </w:rPr>
        <w:t xml:space="preserve"> </w:t>
      </w:r>
      <w:r>
        <w:t xml:space="preserve">with disabled HARQ processes. </w:t>
      </w:r>
    </w:p>
    <w:p>
      <w:pPr>
        <w:autoSpaceDE/>
        <w:adjustRightInd/>
        <w:snapToGrid/>
        <w:spacing w:after="0"/>
        <w:rPr>
          <w:b/>
          <w:iCs/>
          <w:lang w:eastAsia="zh-CN"/>
        </w:rPr>
      </w:pPr>
      <w:r>
        <w:rPr>
          <w:b/>
          <w:iCs/>
          <w:lang w:eastAsia="zh-CN"/>
        </w:rPr>
        <w:t xml:space="preserve">Proposal </w:t>
      </w:r>
      <w:r>
        <w:rPr>
          <w:rFonts w:hint="eastAsia"/>
          <w:b/>
          <w:iCs/>
          <w:lang w:eastAsia="zh-CN"/>
        </w:rPr>
        <w:t>4</w:t>
      </w:r>
      <w:r>
        <w:rPr>
          <w:b/>
          <w:iCs/>
          <w:lang w:eastAsia="zh-CN"/>
        </w:rPr>
        <w:t>: Type-1 codebook can be enhancement</w:t>
      </w:r>
      <w:r>
        <w:t xml:space="preserve"> </w:t>
      </w:r>
      <w:r>
        <w:rPr>
          <w:b/>
          <w:iCs/>
          <w:lang w:eastAsia="zh-CN"/>
        </w:rPr>
        <w:t>by ignor</w:t>
      </w:r>
      <w:r>
        <w:rPr>
          <w:rFonts w:hint="default"/>
          <w:b/>
          <w:iCs/>
          <w:lang w:val="en-US" w:eastAsia="zh-CN"/>
        </w:rPr>
        <w:t>ing</w:t>
      </w:r>
      <w:r>
        <w:rPr>
          <w:b/>
          <w:iCs/>
          <w:lang w:eastAsia="zh-CN"/>
        </w:rPr>
        <w:t xml:space="preserve"> the transmission occasions with disabled HARQ processes.</w:t>
      </w:r>
    </w:p>
    <w:p>
      <w:pPr>
        <w:rPr>
          <w:sz w:val="20"/>
          <w:szCs w:val="20"/>
          <w:lang w:eastAsia="zh-CN"/>
        </w:rPr>
      </w:pPr>
      <w:r>
        <w:rPr>
          <w:lang w:val="en-GB" w:eastAsia="zh-CN"/>
        </w:rPr>
        <w:t xml:space="preserve">The Type-3 HARQ codebook is introduced for unlicensed band in NR Rel-16, to benefit from the HARQ-ACK retransmission due to listen-before-talk (LBT) failure </w:t>
      </w:r>
      <w:r>
        <w:rPr>
          <w:lang w:eastAsia="zh-CN"/>
        </w:rPr>
        <w:t xml:space="preserve">[3]. It was agreed in the </w:t>
      </w:r>
      <w:r>
        <w:rPr>
          <w:lang w:val="en-GB" w:eastAsia="zh-CN"/>
        </w:rPr>
        <w:t>RAN1#103-e</w:t>
      </w:r>
      <w:r>
        <w:rPr>
          <w:lang w:eastAsia="zh-CN"/>
        </w:rPr>
        <w:t xml:space="preserve"> that the </w:t>
      </w:r>
      <w:r>
        <w:rPr>
          <w:lang w:val="en-GB" w:eastAsia="zh-CN"/>
        </w:rPr>
        <w:t>T</w:t>
      </w:r>
      <w:r>
        <w:rPr>
          <w:lang w:eastAsia="zh-CN"/>
        </w:rPr>
        <w:t>ype-3 HARQ codebook is also supported for licensed spectrum [4].</w:t>
      </w:r>
      <w:r>
        <w:t xml:space="preserve"> </w:t>
      </w:r>
      <w:r>
        <w:rPr>
          <w:lang w:val="en-GB" w:eastAsia="zh-CN"/>
        </w:rPr>
        <w:t xml:space="preserve">In the case of NR Type-3 HARQ codebook, UE would generate HARQ-ACK feedback on all HARQ processes for all the configured serving cells in one shot. </w:t>
      </w:r>
      <w:r>
        <w:t xml:space="preserve">Therefore, in our view, </w:t>
      </w:r>
      <w:r>
        <w:rPr>
          <w:lang w:eastAsia="zh-CN"/>
        </w:rPr>
        <w:t xml:space="preserve">one simpler approach to reduce the unnecessary overhead is to only allow the feedback for HARQ process with enabled ACK/NACK information in the </w:t>
      </w:r>
      <w:r>
        <w:rPr>
          <w:lang w:val="en-GB" w:eastAsia="zh-CN"/>
        </w:rPr>
        <w:t>T</w:t>
      </w:r>
      <w:r>
        <w:rPr>
          <w:lang w:eastAsia="zh-CN"/>
        </w:rPr>
        <w:t>ype-3 codebook.</w:t>
      </w:r>
    </w:p>
    <w:p>
      <w:pPr>
        <w:autoSpaceDE/>
        <w:adjustRightInd/>
        <w:snapToGrid/>
        <w:spacing w:after="0"/>
        <w:rPr>
          <w:b/>
          <w:iCs/>
          <w:lang w:eastAsia="zh-CN"/>
        </w:rPr>
      </w:pPr>
      <w:r>
        <w:rPr>
          <w:b/>
          <w:iCs/>
        </w:rPr>
        <w:t xml:space="preserve">Proposal </w:t>
      </w:r>
      <w:r>
        <w:rPr>
          <w:rFonts w:hint="eastAsia"/>
          <w:b/>
          <w:iCs/>
          <w:lang w:eastAsia="zh-CN"/>
        </w:rPr>
        <w:t>5</w:t>
      </w:r>
      <w:r>
        <w:rPr>
          <w:b/>
          <w:iCs/>
          <w:lang w:eastAsia="zh-CN"/>
        </w:rPr>
        <w:t>: F</w:t>
      </w:r>
      <w:r>
        <w:rPr>
          <w:rFonts w:eastAsia="MS Mincho"/>
          <w:b/>
          <w:iCs/>
          <w:lang w:eastAsia="ja-JP"/>
        </w:rPr>
        <w:t>or Type-3 HARQ codebook, enhancement should be considered to reduce the unnecessary overhead</w:t>
      </w:r>
      <w:r>
        <w:rPr>
          <w:b/>
          <w:iCs/>
          <w:lang w:eastAsia="zh-CN"/>
        </w:rPr>
        <w:t>.</w:t>
      </w:r>
    </w:p>
    <w:p>
      <w:pPr>
        <w:autoSpaceDE/>
        <w:autoSpaceDN/>
        <w:adjustRightInd/>
        <w:snapToGrid/>
        <w:spacing w:after="0"/>
        <w:rPr>
          <w:b/>
          <w:iCs/>
          <w:lang w:eastAsia="zh-CN"/>
        </w:rPr>
      </w:pPr>
    </w:p>
    <w:p>
      <w:pPr>
        <w:pStyle w:val="3"/>
      </w:pPr>
      <w:r>
        <w:t>Restriction on HARQ feedback disabling</w:t>
      </w:r>
    </w:p>
    <w:p>
      <w:pPr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eastAsiaTheme="minorEastAsia"/>
          <w:lang w:eastAsia="zh-CN"/>
        </w:rPr>
        <w:t>propos</w:t>
      </w:r>
      <w:r>
        <w:rPr>
          <w:lang w:eastAsia="zh-CN"/>
        </w:rPr>
        <w:t>al in the RAN1#105e of moderator is suggested for further check on the below conclusion</w:t>
      </w:r>
      <w:r>
        <w:rPr>
          <w:rFonts w:ascii="Times" w:hAnsi="Times" w:eastAsia="Batang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lang w:eastAsia="zh-CN"/>
        </w:rPr>
        <w:t>[1]:</w:t>
      </w:r>
    </w:p>
    <w:p>
      <w:pPr>
        <w:autoSpaceDE/>
        <w:autoSpaceDN/>
        <w:adjustRightInd/>
        <w:snapToGrid/>
        <w:spacing w:after="0"/>
        <w:rPr>
          <w:rFonts w:ascii="Times" w:hAnsi="Times" w:eastAsiaTheme="minorEastAsia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</w:pPr>
      <w:r>
        <w:t>UE expects that</w:t>
      </w:r>
      <w:r>
        <w:rPr>
          <w:bCs/>
          <w:lang w:eastAsia="zh-CN"/>
        </w:rPr>
        <w:t xml:space="preserve"> </w:t>
      </w:r>
      <w:r>
        <w:rPr>
          <w:lang w:eastAsia="zh-CN"/>
        </w:rPr>
        <w:t>MAC-CEs are transmitted using HARQ processes with feedback enabled</w:t>
      </w:r>
      <w:r>
        <w:rPr>
          <w:rFonts w:hint="eastAsia" w:ascii="Times" w:hAnsi="Times" w:eastAsiaTheme="minorEastAsia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>.</w:t>
      </w:r>
      <w:r>
        <w:rPr>
          <w:rFonts w:ascii="Times" w:hAnsi="Times" w:eastAsiaTheme="minorEastAsia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autoSpaceDE/>
        <w:autoSpaceDN/>
        <w:adjustRightInd/>
        <w:snapToGrid/>
        <w:spacing w:after="0"/>
        <w:rPr>
          <w:rFonts w:ascii="Times" w:hAnsi="Times" w:eastAsiaTheme="minorEastAsia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</w:pPr>
      <w:r>
        <w:rPr>
          <w:rFonts w:ascii="Times" w:hAnsi="Times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To avoid the potential misunderstanding of MAC CE signaling between gNB and UE, it is beneficial to mandate the scheduling with enabled HARQ process. Thus, </w:t>
      </w:r>
      <w:r>
        <w:rPr>
          <w:rFonts w:hint="eastAsia" w:ascii="Times" w:hAnsi="Times" w:eastAsiaTheme="minorEastAsia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>w</w:t>
      </w:r>
      <w:r>
        <w:rPr>
          <w:rFonts w:ascii="Times" w:hAnsi="Times" w:eastAsiaTheme="minorEastAsia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 xml:space="preserve">e agree with this proposal, but the </w:t>
      </w:r>
      <w:r>
        <w:rPr>
          <w:rFonts w:hint="eastAsia" w:ascii="Times" w:hAnsi="Times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Times" w:hAnsi="Times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AC-CEs are transmitted with enabled/disabled HARQ processes depending on the specific implementation of network </w:t>
      </w:r>
      <w:r>
        <w:rPr>
          <w:rFonts w:hint="eastAsia" w:ascii="Times" w:hAnsi="Times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</w:t>
      </w:r>
      <w:r>
        <w:rPr>
          <w:rFonts w:ascii="Times" w:hAnsi="Times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perators.</w:t>
      </w:r>
    </w:p>
    <w:p>
      <w:pPr>
        <w:autoSpaceDE/>
        <w:autoSpaceDN/>
        <w:adjustRightInd/>
        <w:snapToGrid/>
        <w:spacing w:after="0"/>
        <w:rPr>
          <w:rFonts w:ascii="Times" w:hAnsi="Times" w:eastAsiaTheme="minor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" w:hAnsi="Times" w:eastAsiaTheme="minor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6: The MAC-CEs are transmitted with enabled/disabled HARQ processes depending on the specific implementation of network operators.</w:t>
      </w:r>
    </w:p>
    <w:p>
      <w:pPr>
        <w:autoSpaceDE/>
        <w:autoSpaceDN/>
        <w:adjustRightInd/>
        <w:snapToGrid/>
        <w:spacing w:after="0"/>
        <w:rPr>
          <w:rFonts w:ascii="Times" w:hAnsi="Times" w:eastAsiaTheme="minor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2"/>
      </w:pPr>
      <w:r>
        <w:t>Conclusions</w:t>
      </w:r>
    </w:p>
    <w:p>
      <w:pPr>
        <w:rPr>
          <w:lang w:eastAsia="ja-JP"/>
        </w:rPr>
      </w:pPr>
      <w:r>
        <w:rPr>
          <w:lang w:eastAsia="ja-JP"/>
        </w:rPr>
        <w:t xml:space="preserve">In this contribution, we </w:t>
      </w:r>
      <w:r>
        <w:t>discussed enhancements for HARQ procedures in NTN.</w:t>
      </w:r>
      <w:r>
        <w:rPr>
          <w:lang w:eastAsia="ja-JP"/>
        </w:rPr>
        <w:t xml:space="preserve"> Then we get the following observations and proposals:</w:t>
      </w:r>
    </w:p>
    <w:p>
      <w:pPr>
        <w:pStyle w:val="27"/>
        <w:widowControl/>
        <w:numPr>
          <w:ilvl w:val="0"/>
          <w:numId w:val="6"/>
        </w:numPr>
        <w:tabs>
          <w:tab w:val="left" w:pos="7172"/>
        </w:tabs>
        <w:autoSpaceDE w:val="0"/>
        <w:autoSpaceDN w:val="0"/>
        <w:adjustRightInd w:val="0"/>
        <w:snapToGrid w:val="0"/>
        <w:spacing w:after="120"/>
        <w:ind w:leftChars="0"/>
        <w:rPr>
          <w:rFonts w:ascii="Times New Roman" w:hAnsi="Times New Roman" w:cs="Times New Roman"/>
          <w:i/>
          <w:i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If 32 HARQ processes are configured, extending the HARQ process ID field up to 5 bits for non-fallback DCI 0-1/1-1.</w:t>
      </w:r>
    </w:p>
    <w:p>
      <w:pPr>
        <w:pStyle w:val="27"/>
        <w:widowControl/>
        <w:numPr>
          <w:ilvl w:val="0"/>
          <w:numId w:val="6"/>
        </w:numPr>
        <w:tabs>
          <w:tab w:val="left" w:pos="7172"/>
        </w:tabs>
        <w:autoSpaceDE w:val="0"/>
        <w:autoSpaceDN w:val="0"/>
        <w:adjustRightInd w:val="0"/>
        <w:snapToGrid w:val="0"/>
        <w:spacing w:after="120"/>
        <w:ind w:left="1082" w:leftChars="0" w:hanging="1082" w:hangingChars="515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No HARQ enhancement for DCI 0-0/1-0 is needed.</w:t>
      </w:r>
    </w:p>
    <w:p>
      <w:pPr>
        <w:pStyle w:val="27"/>
        <w:widowControl/>
        <w:numPr>
          <w:ilvl w:val="0"/>
          <w:numId w:val="6"/>
        </w:numPr>
        <w:tabs>
          <w:tab w:val="left" w:pos="7172"/>
        </w:tabs>
        <w:autoSpaceDE w:val="0"/>
        <w:autoSpaceDN w:val="0"/>
        <w:adjustRightInd w:val="0"/>
        <w:snapToGrid w:val="0"/>
        <w:spacing w:after="120"/>
        <w:ind w:left="1082" w:leftChars="0" w:hanging="1082" w:hangingChars="515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Type 2 HARQ-ACK codebook can be optimized, and the C-DAI and T-DAI are the count of feedback-enabled processes, despite they are not incremented.</w:t>
      </w:r>
    </w:p>
    <w:p>
      <w:pPr>
        <w:pStyle w:val="27"/>
        <w:widowControl/>
        <w:numPr>
          <w:ilvl w:val="0"/>
          <w:numId w:val="6"/>
        </w:numPr>
        <w:tabs>
          <w:tab w:val="left" w:pos="7172"/>
        </w:tabs>
        <w:autoSpaceDE w:val="0"/>
        <w:autoSpaceDN w:val="0"/>
        <w:adjustRightInd w:val="0"/>
        <w:snapToGrid w:val="0"/>
        <w:spacing w:after="120"/>
        <w:ind w:left="1082" w:leftChars="0" w:hanging="1082" w:hangingChars="515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Type-1 codebook can be enhancement by ignor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ing</w:t>
      </w:r>
      <w:r>
        <w:rPr>
          <w:rFonts w:ascii="Times New Roman" w:hAnsi="Times New Roman" w:cs="Times New Roman"/>
          <w:b/>
          <w:bCs/>
          <w:lang w:eastAsia="zh-CN"/>
        </w:rPr>
        <w:t xml:space="preserve"> the transmission occasions with disabled HARQ processes.</w:t>
      </w:r>
    </w:p>
    <w:p>
      <w:pPr>
        <w:pStyle w:val="27"/>
        <w:widowControl/>
        <w:numPr>
          <w:ilvl w:val="0"/>
          <w:numId w:val="6"/>
        </w:numPr>
        <w:tabs>
          <w:tab w:val="left" w:pos="7172"/>
        </w:tabs>
        <w:autoSpaceDE w:val="0"/>
        <w:autoSpaceDN w:val="0"/>
        <w:adjustRightInd w:val="0"/>
        <w:snapToGrid w:val="0"/>
        <w:spacing w:after="120"/>
        <w:ind w:left="1082" w:leftChars="0" w:hanging="1082" w:hangingChars="515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For Type-3 HARQ codebook, enhancement should be considered to reduce the unnecessary overhead.</w:t>
      </w:r>
    </w:p>
    <w:p>
      <w:pPr>
        <w:pStyle w:val="27"/>
        <w:widowControl/>
        <w:numPr>
          <w:ilvl w:val="0"/>
          <w:numId w:val="6"/>
        </w:numPr>
        <w:tabs>
          <w:tab w:val="left" w:pos="7172"/>
        </w:tabs>
        <w:autoSpaceDE w:val="0"/>
        <w:autoSpaceDN w:val="0"/>
        <w:adjustRightInd w:val="0"/>
        <w:snapToGrid w:val="0"/>
        <w:spacing w:after="120"/>
        <w:ind w:left="1082" w:leftChars="0" w:hanging="1082" w:hangingChars="515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" w:hAnsi="Times" w:eastAsiaTheme="minor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The MAC-CEs are transmitted with enabled/disabled HARQ processes depending on the specific implementation of network operators.</w:t>
      </w:r>
    </w:p>
    <w:p>
      <w:pPr>
        <w:tabs>
          <w:tab w:val="left" w:pos="7172"/>
        </w:tabs>
        <w:rPr>
          <w:b/>
          <w:bCs/>
          <w:lang w:eastAsia="zh-CN"/>
        </w:rPr>
      </w:pPr>
    </w:p>
    <w:p>
      <w:pPr>
        <w:pStyle w:val="2"/>
        <w:numPr>
          <w:ilvl w:val="0"/>
          <w:numId w:val="0"/>
        </w:numPr>
        <w:tabs>
          <w:tab w:val="left" w:pos="420"/>
        </w:tabs>
        <w:ind w:left="432" w:hanging="432"/>
      </w:pPr>
      <w:r>
        <w:t>References</w:t>
      </w:r>
    </w:p>
    <w:p>
      <w:pPr>
        <w:pStyle w:val="28"/>
        <w:numPr>
          <w:ilvl w:val="0"/>
          <w:numId w:val="7"/>
        </w:numPr>
        <w:tabs>
          <w:tab w:val="left" w:pos="420"/>
        </w:tabs>
        <w:rPr>
          <w:sz w:val="22"/>
          <w:szCs w:val="22"/>
        </w:rPr>
      </w:pPr>
      <w:r>
        <w:rPr>
          <w:sz w:val="22"/>
          <w:szCs w:val="22"/>
          <w:lang w:eastAsia="zh-CN"/>
        </w:rPr>
        <w:t>Chairman’s Notes</w:t>
      </w:r>
      <w:r>
        <w:t>, 3GPP TSG RAN1 WG1 #10</w:t>
      </w:r>
      <w:r>
        <w:rPr>
          <w:rFonts w:hint="eastAsia"/>
          <w:lang w:eastAsia="zh-CN"/>
        </w:rPr>
        <w:t>5</w:t>
      </w:r>
      <w:r>
        <w:t>-e Meeting, May. 202</w:t>
      </w:r>
      <w:r>
        <w:rPr>
          <w:rFonts w:hint="eastAsia"/>
          <w:lang w:eastAsia="zh-CN"/>
        </w:rPr>
        <w:t>1</w:t>
      </w:r>
      <w:r>
        <w:t>.</w:t>
      </w:r>
      <w:r>
        <w:rPr>
          <w:sz w:val="22"/>
          <w:szCs w:val="22"/>
          <w:lang w:eastAsia="zh-CN"/>
        </w:rPr>
        <w:t xml:space="preserve"> </w:t>
      </w:r>
    </w:p>
    <w:p>
      <w:pPr>
        <w:pStyle w:val="28"/>
        <w:numPr>
          <w:ilvl w:val="0"/>
          <w:numId w:val="7"/>
        </w:numPr>
        <w:tabs>
          <w:tab w:val="left" w:pos="420"/>
        </w:tabs>
        <w:rPr>
          <w:sz w:val="22"/>
          <w:szCs w:val="22"/>
        </w:rPr>
      </w:pPr>
      <w:r>
        <w:t>Chairman’s Notes, 3GPP TSG RAN1 WG1 #102-e Meeting, Aug. 202</w:t>
      </w:r>
      <w:r>
        <w:rPr>
          <w:rFonts w:hint="eastAsia"/>
          <w:lang w:eastAsia="zh-CN"/>
        </w:rPr>
        <w:t>0</w:t>
      </w:r>
      <w:r>
        <w:t>.</w:t>
      </w:r>
    </w:p>
    <w:p>
      <w:pPr>
        <w:pStyle w:val="27"/>
        <w:numPr>
          <w:ilvl w:val="0"/>
          <w:numId w:val="7"/>
        </w:numPr>
        <w:ind w:leftChars="0"/>
      </w:pPr>
      <w:bookmarkStart w:id="12" w:name="_Ref71307344"/>
      <w:r>
        <w:rPr>
          <w:rFonts w:ascii="Times New Roman" w:hAnsi="Times New Roman"/>
          <w:sz w:val="22"/>
        </w:rPr>
        <w:t xml:space="preserve">TR 38.821 </w:t>
      </w:r>
      <w:r>
        <w:rPr>
          <w:rFonts w:ascii="Times New Roman" w:hAnsi="Times New Roman"/>
          <w:sz w:val="22"/>
          <w:lang w:eastAsia="zh-CN"/>
        </w:rPr>
        <w:t>V16.0.0</w:t>
      </w:r>
      <w:r>
        <w:rPr>
          <w:rFonts w:ascii="Times New Roman" w:hAnsi="Times New Roman"/>
          <w:sz w:val="22"/>
        </w:rPr>
        <w:t xml:space="preserve">, </w:t>
      </w:r>
      <w:bookmarkStart w:id="13" w:name="OLE_LINK19"/>
      <w:r>
        <w:rPr>
          <w:rFonts w:ascii="Times New Roman" w:hAnsi="Times New Roman"/>
          <w:sz w:val="22"/>
        </w:rPr>
        <w:t>“</w:t>
      </w:r>
      <w:bookmarkEnd w:id="13"/>
      <w:r>
        <w:rPr>
          <w:rFonts w:ascii="Times New Roman" w:hAnsi="Times New Roman"/>
          <w:sz w:val="22"/>
        </w:rPr>
        <w:t>Solution for NR to support non terrestrial networks (NTN) ”, 3GPP</w:t>
      </w:r>
      <w:bookmarkEnd w:id="12"/>
      <w:r>
        <w:rPr>
          <w:rFonts w:ascii="Times New Roman" w:hAnsi="Times New Roman"/>
          <w:sz w:val="22"/>
        </w:rPr>
        <w:t>.</w:t>
      </w:r>
    </w:p>
    <w:p>
      <w:pPr>
        <w:pStyle w:val="28"/>
        <w:numPr>
          <w:ilvl w:val="0"/>
          <w:numId w:val="7"/>
        </w:numPr>
        <w:tabs>
          <w:tab w:val="left" w:pos="420"/>
        </w:tabs>
        <w:rPr>
          <w:sz w:val="22"/>
          <w:szCs w:val="22"/>
        </w:rPr>
      </w:pPr>
      <w:r>
        <w:t>Chairman’s Notes, 3GPP TSG RAN1 WG1 #103-e Meeting, Nov. 202</w:t>
      </w:r>
      <w:r>
        <w:rPr>
          <w:rFonts w:hint="eastAsia"/>
          <w:lang w:eastAsia="zh-CN"/>
        </w:rPr>
        <w:t>0</w:t>
      </w:r>
      <w:r>
        <w:t>.</w:t>
      </w:r>
      <w:bookmarkEnd w:id="5"/>
      <w:bookmarkEnd w:id="7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entury">
    <w:altName w:val="Times New Roman"/>
    <w:panose1 w:val="02040604050505020304"/>
    <w:charset w:val="00"/>
    <w:family w:val="roman"/>
    <w:pitch w:val="default"/>
    <w:sig w:usb0="00000000" w:usb1="00000000" w:usb2="00000000" w:usb3="00000000" w:csb0="2000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D3360F"/>
    <w:multiLevelType w:val="multilevel"/>
    <w:tmpl w:val="13D3360F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 w:cs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2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3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11212DE"/>
    <w:multiLevelType w:val="multilevel"/>
    <w:tmpl w:val="411212DE"/>
    <w:lvl w:ilvl="0" w:tentative="0">
      <w:start w:val="1"/>
      <w:numFmt w:val="decimal"/>
      <w:suff w:val="space"/>
      <w:lvlText w:val="Proposal %1:"/>
      <w:lvlJc w:val="left"/>
      <w:pPr>
        <w:ind w:left="1134" w:hanging="1134"/>
      </w:pPr>
      <w:rPr>
        <w:rFonts w:hint="eastAsia"/>
        <w:b/>
        <w:i w:val="0"/>
      </w:rPr>
    </w:lvl>
    <w:lvl w:ilvl="1" w:tentative="0">
      <w:start w:val="1"/>
      <w:numFmt w:val="lowerLetter"/>
      <w:lvlText w:val="%2)"/>
      <w:lvlJc w:val="left"/>
      <w:pPr>
        <w:ind w:left="2541" w:hanging="420"/>
      </w:pPr>
    </w:lvl>
    <w:lvl w:ilvl="2" w:tentative="0">
      <w:start w:val="1"/>
      <w:numFmt w:val="lowerRoman"/>
      <w:lvlText w:val="%3."/>
      <w:lvlJc w:val="right"/>
      <w:pPr>
        <w:ind w:left="2961" w:hanging="420"/>
      </w:pPr>
    </w:lvl>
    <w:lvl w:ilvl="3" w:tentative="0">
      <w:start w:val="1"/>
      <w:numFmt w:val="decimal"/>
      <w:lvlText w:val="%4."/>
      <w:lvlJc w:val="left"/>
      <w:pPr>
        <w:ind w:left="3381" w:hanging="420"/>
      </w:pPr>
    </w:lvl>
    <w:lvl w:ilvl="4" w:tentative="0">
      <w:start w:val="1"/>
      <w:numFmt w:val="lowerLetter"/>
      <w:lvlText w:val="%5)"/>
      <w:lvlJc w:val="left"/>
      <w:pPr>
        <w:ind w:left="3801" w:hanging="420"/>
      </w:pPr>
    </w:lvl>
    <w:lvl w:ilvl="5" w:tentative="0">
      <w:start w:val="1"/>
      <w:numFmt w:val="lowerRoman"/>
      <w:lvlText w:val="%6."/>
      <w:lvlJc w:val="right"/>
      <w:pPr>
        <w:ind w:left="4221" w:hanging="420"/>
      </w:pPr>
    </w:lvl>
    <w:lvl w:ilvl="6" w:tentative="0">
      <w:start w:val="1"/>
      <w:numFmt w:val="decimal"/>
      <w:lvlText w:val="%7."/>
      <w:lvlJc w:val="left"/>
      <w:pPr>
        <w:ind w:left="4641" w:hanging="420"/>
      </w:pPr>
    </w:lvl>
    <w:lvl w:ilvl="7" w:tentative="0">
      <w:start w:val="1"/>
      <w:numFmt w:val="lowerLetter"/>
      <w:lvlText w:val="%8)"/>
      <w:lvlJc w:val="left"/>
      <w:pPr>
        <w:ind w:left="5061" w:hanging="420"/>
      </w:pPr>
    </w:lvl>
    <w:lvl w:ilvl="8" w:tentative="0">
      <w:start w:val="1"/>
      <w:numFmt w:val="lowerRoman"/>
      <w:lvlText w:val="%9."/>
      <w:lvlJc w:val="right"/>
      <w:pPr>
        <w:ind w:left="5481" w:hanging="42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3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05900"/>
    <w:multiLevelType w:val="multilevel"/>
    <w:tmpl w:val="51D05900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A1D0817"/>
    <w:multiLevelType w:val="multilevel"/>
    <w:tmpl w:val="7A1D081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828" w:hanging="414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A2C"/>
    <w:rsid w:val="00000343"/>
    <w:rsid w:val="000125EC"/>
    <w:rsid w:val="0001466F"/>
    <w:rsid w:val="00016606"/>
    <w:rsid w:val="000178C1"/>
    <w:rsid w:val="00023469"/>
    <w:rsid w:val="00026652"/>
    <w:rsid w:val="00026961"/>
    <w:rsid w:val="000454DE"/>
    <w:rsid w:val="0004789D"/>
    <w:rsid w:val="0005681B"/>
    <w:rsid w:val="00062108"/>
    <w:rsid w:val="00066D5F"/>
    <w:rsid w:val="00070EEC"/>
    <w:rsid w:val="00075F96"/>
    <w:rsid w:val="00081051"/>
    <w:rsid w:val="000930E3"/>
    <w:rsid w:val="000A3F35"/>
    <w:rsid w:val="000A43B8"/>
    <w:rsid w:val="000A5B03"/>
    <w:rsid w:val="000A7471"/>
    <w:rsid w:val="000B016E"/>
    <w:rsid w:val="000B0A6E"/>
    <w:rsid w:val="000B192D"/>
    <w:rsid w:val="000C170E"/>
    <w:rsid w:val="000C544A"/>
    <w:rsid w:val="000C6D06"/>
    <w:rsid w:val="000C7B3D"/>
    <w:rsid w:val="000D463D"/>
    <w:rsid w:val="000E320B"/>
    <w:rsid w:val="000F430B"/>
    <w:rsid w:val="000F6C3A"/>
    <w:rsid w:val="001016DE"/>
    <w:rsid w:val="00102715"/>
    <w:rsid w:val="0010776E"/>
    <w:rsid w:val="00110B5A"/>
    <w:rsid w:val="00110BFA"/>
    <w:rsid w:val="00112BDC"/>
    <w:rsid w:val="001139BF"/>
    <w:rsid w:val="00115CF4"/>
    <w:rsid w:val="0012085A"/>
    <w:rsid w:val="001475EA"/>
    <w:rsid w:val="00153D8F"/>
    <w:rsid w:val="00155069"/>
    <w:rsid w:val="00157C32"/>
    <w:rsid w:val="001644D8"/>
    <w:rsid w:val="0017587B"/>
    <w:rsid w:val="0018571C"/>
    <w:rsid w:val="001933B7"/>
    <w:rsid w:val="00193F32"/>
    <w:rsid w:val="001C00A9"/>
    <w:rsid w:val="001C7A6A"/>
    <w:rsid w:val="001D64D0"/>
    <w:rsid w:val="001E340D"/>
    <w:rsid w:val="002060D0"/>
    <w:rsid w:val="00206AE7"/>
    <w:rsid w:val="0021142D"/>
    <w:rsid w:val="00217C01"/>
    <w:rsid w:val="00224D3C"/>
    <w:rsid w:val="002363FD"/>
    <w:rsid w:val="00241E52"/>
    <w:rsid w:val="00256A2B"/>
    <w:rsid w:val="0026651E"/>
    <w:rsid w:val="00273269"/>
    <w:rsid w:val="002753B9"/>
    <w:rsid w:val="0028310F"/>
    <w:rsid w:val="00286ED7"/>
    <w:rsid w:val="002E2383"/>
    <w:rsid w:val="002E2E39"/>
    <w:rsid w:val="002E6C84"/>
    <w:rsid w:val="002F2B7F"/>
    <w:rsid w:val="00303276"/>
    <w:rsid w:val="00304BD1"/>
    <w:rsid w:val="00311B21"/>
    <w:rsid w:val="00337BC8"/>
    <w:rsid w:val="0034186F"/>
    <w:rsid w:val="00343046"/>
    <w:rsid w:val="003434AF"/>
    <w:rsid w:val="00344B58"/>
    <w:rsid w:val="003452C9"/>
    <w:rsid w:val="00354CA0"/>
    <w:rsid w:val="00371F46"/>
    <w:rsid w:val="00380384"/>
    <w:rsid w:val="003B0C57"/>
    <w:rsid w:val="003B3933"/>
    <w:rsid w:val="003B3A99"/>
    <w:rsid w:val="003B7EBF"/>
    <w:rsid w:val="003C4101"/>
    <w:rsid w:val="003D359F"/>
    <w:rsid w:val="003D6AD6"/>
    <w:rsid w:val="003E437F"/>
    <w:rsid w:val="003E72A1"/>
    <w:rsid w:val="003F0963"/>
    <w:rsid w:val="003F1466"/>
    <w:rsid w:val="003F2052"/>
    <w:rsid w:val="003F654A"/>
    <w:rsid w:val="0040365E"/>
    <w:rsid w:val="004415D8"/>
    <w:rsid w:val="004439B0"/>
    <w:rsid w:val="0045576E"/>
    <w:rsid w:val="004601F4"/>
    <w:rsid w:val="00461F25"/>
    <w:rsid w:val="00462C59"/>
    <w:rsid w:val="004642DA"/>
    <w:rsid w:val="0047751D"/>
    <w:rsid w:val="00481673"/>
    <w:rsid w:val="004A2A4E"/>
    <w:rsid w:val="004B4DD9"/>
    <w:rsid w:val="004B5C6A"/>
    <w:rsid w:val="004C2A32"/>
    <w:rsid w:val="004C75BF"/>
    <w:rsid w:val="004D45A3"/>
    <w:rsid w:val="004F09F7"/>
    <w:rsid w:val="004F298B"/>
    <w:rsid w:val="004F6951"/>
    <w:rsid w:val="004F715F"/>
    <w:rsid w:val="005006FF"/>
    <w:rsid w:val="00510081"/>
    <w:rsid w:val="00524477"/>
    <w:rsid w:val="00525F26"/>
    <w:rsid w:val="005277A8"/>
    <w:rsid w:val="0053616D"/>
    <w:rsid w:val="00543C3C"/>
    <w:rsid w:val="00544106"/>
    <w:rsid w:val="00552CF7"/>
    <w:rsid w:val="005531FB"/>
    <w:rsid w:val="0055661F"/>
    <w:rsid w:val="00561E42"/>
    <w:rsid w:val="00565246"/>
    <w:rsid w:val="005774DB"/>
    <w:rsid w:val="0058004B"/>
    <w:rsid w:val="005916AC"/>
    <w:rsid w:val="00595B5A"/>
    <w:rsid w:val="005A7C08"/>
    <w:rsid w:val="005B3815"/>
    <w:rsid w:val="005D4457"/>
    <w:rsid w:val="005E40E1"/>
    <w:rsid w:val="005F1926"/>
    <w:rsid w:val="00603A6B"/>
    <w:rsid w:val="00606DDB"/>
    <w:rsid w:val="00615801"/>
    <w:rsid w:val="00620D2D"/>
    <w:rsid w:val="0063045F"/>
    <w:rsid w:val="00634220"/>
    <w:rsid w:val="0064212A"/>
    <w:rsid w:val="00643C3A"/>
    <w:rsid w:val="00662E53"/>
    <w:rsid w:val="00667675"/>
    <w:rsid w:val="00674E83"/>
    <w:rsid w:val="0068127C"/>
    <w:rsid w:val="00684A2C"/>
    <w:rsid w:val="006877AA"/>
    <w:rsid w:val="0069284C"/>
    <w:rsid w:val="00696043"/>
    <w:rsid w:val="006A27D4"/>
    <w:rsid w:val="006A3519"/>
    <w:rsid w:val="006B3D82"/>
    <w:rsid w:val="006C440C"/>
    <w:rsid w:val="006E0F6C"/>
    <w:rsid w:val="00722BC6"/>
    <w:rsid w:val="00725BFA"/>
    <w:rsid w:val="007349EE"/>
    <w:rsid w:val="00744487"/>
    <w:rsid w:val="007463C7"/>
    <w:rsid w:val="007475DD"/>
    <w:rsid w:val="00754EF7"/>
    <w:rsid w:val="00761A55"/>
    <w:rsid w:val="00776FEB"/>
    <w:rsid w:val="00783CA8"/>
    <w:rsid w:val="007842C1"/>
    <w:rsid w:val="007A7D1D"/>
    <w:rsid w:val="007B3BC1"/>
    <w:rsid w:val="007C259D"/>
    <w:rsid w:val="007C6C25"/>
    <w:rsid w:val="007D3298"/>
    <w:rsid w:val="007D4369"/>
    <w:rsid w:val="007E43ED"/>
    <w:rsid w:val="007E57A0"/>
    <w:rsid w:val="007F1E27"/>
    <w:rsid w:val="007F746C"/>
    <w:rsid w:val="007F7C23"/>
    <w:rsid w:val="0081535F"/>
    <w:rsid w:val="008375B2"/>
    <w:rsid w:val="00857C7F"/>
    <w:rsid w:val="00862D01"/>
    <w:rsid w:val="008673E0"/>
    <w:rsid w:val="00885A71"/>
    <w:rsid w:val="008972A4"/>
    <w:rsid w:val="008A1CE5"/>
    <w:rsid w:val="008A53CD"/>
    <w:rsid w:val="008A5692"/>
    <w:rsid w:val="008C5F99"/>
    <w:rsid w:val="008E6652"/>
    <w:rsid w:val="008E761E"/>
    <w:rsid w:val="00906490"/>
    <w:rsid w:val="00912081"/>
    <w:rsid w:val="0091209D"/>
    <w:rsid w:val="00924813"/>
    <w:rsid w:val="00944918"/>
    <w:rsid w:val="00957DB9"/>
    <w:rsid w:val="009620CF"/>
    <w:rsid w:val="009622F9"/>
    <w:rsid w:val="00966AA0"/>
    <w:rsid w:val="009702AE"/>
    <w:rsid w:val="00971EAA"/>
    <w:rsid w:val="0097304D"/>
    <w:rsid w:val="00992223"/>
    <w:rsid w:val="00994AA6"/>
    <w:rsid w:val="009A22CE"/>
    <w:rsid w:val="009B6DB4"/>
    <w:rsid w:val="009E3C0F"/>
    <w:rsid w:val="009E4829"/>
    <w:rsid w:val="009E50E6"/>
    <w:rsid w:val="009F2FBB"/>
    <w:rsid w:val="00A063FA"/>
    <w:rsid w:val="00A36104"/>
    <w:rsid w:val="00A37972"/>
    <w:rsid w:val="00A40B76"/>
    <w:rsid w:val="00A41891"/>
    <w:rsid w:val="00A45C2F"/>
    <w:rsid w:val="00A509A3"/>
    <w:rsid w:val="00A526DB"/>
    <w:rsid w:val="00A57AC4"/>
    <w:rsid w:val="00A61324"/>
    <w:rsid w:val="00A6588E"/>
    <w:rsid w:val="00A70E07"/>
    <w:rsid w:val="00A710E0"/>
    <w:rsid w:val="00A77638"/>
    <w:rsid w:val="00A82EF6"/>
    <w:rsid w:val="00A86D69"/>
    <w:rsid w:val="00AB3316"/>
    <w:rsid w:val="00AC1C42"/>
    <w:rsid w:val="00AD5FE0"/>
    <w:rsid w:val="00AD60DC"/>
    <w:rsid w:val="00AE256B"/>
    <w:rsid w:val="00AF7FCF"/>
    <w:rsid w:val="00B014AE"/>
    <w:rsid w:val="00B07E27"/>
    <w:rsid w:val="00B1730A"/>
    <w:rsid w:val="00B17814"/>
    <w:rsid w:val="00B23787"/>
    <w:rsid w:val="00B30A5A"/>
    <w:rsid w:val="00B4118C"/>
    <w:rsid w:val="00B64C1B"/>
    <w:rsid w:val="00B72F1D"/>
    <w:rsid w:val="00B73A78"/>
    <w:rsid w:val="00B862A2"/>
    <w:rsid w:val="00B87B98"/>
    <w:rsid w:val="00B91A87"/>
    <w:rsid w:val="00B93F74"/>
    <w:rsid w:val="00B95152"/>
    <w:rsid w:val="00B9683E"/>
    <w:rsid w:val="00BA09F4"/>
    <w:rsid w:val="00BA4614"/>
    <w:rsid w:val="00BA7F3B"/>
    <w:rsid w:val="00BF4D6D"/>
    <w:rsid w:val="00BF7D27"/>
    <w:rsid w:val="00C00479"/>
    <w:rsid w:val="00C00E2F"/>
    <w:rsid w:val="00C0441F"/>
    <w:rsid w:val="00C16CF5"/>
    <w:rsid w:val="00C251B6"/>
    <w:rsid w:val="00C3008D"/>
    <w:rsid w:val="00C33C02"/>
    <w:rsid w:val="00C376E2"/>
    <w:rsid w:val="00C44B82"/>
    <w:rsid w:val="00C618F4"/>
    <w:rsid w:val="00C72347"/>
    <w:rsid w:val="00C73FB6"/>
    <w:rsid w:val="00C96FDF"/>
    <w:rsid w:val="00CA2A6D"/>
    <w:rsid w:val="00CE188C"/>
    <w:rsid w:val="00D24FCA"/>
    <w:rsid w:val="00D26A3B"/>
    <w:rsid w:val="00D4092A"/>
    <w:rsid w:val="00D91B6B"/>
    <w:rsid w:val="00DA0C00"/>
    <w:rsid w:val="00DA2B09"/>
    <w:rsid w:val="00DA3FCA"/>
    <w:rsid w:val="00DA5676"/>
    <w:rsid w:val="00DB0640"/>
    <w:rsid w:val="00DB2FDB"/>
    <w:rsid w:val="00DC0B17"/>
    <w:rsid w:val="00DD1874"/>
    <w:rsid w:val="00DD5732"/>
    <w:rsid w:val="00DE755B"/>
    <w:rsid w:val="00DF0F60"/>
    <w:rsid w:val="00E06DD6"/>
    <w:rsid w:val="00E121B4"/>
    <w:rsid w:val="00E16299"/>
    <w:rsid w:val="00E17F1C"/>
    <w:rsid w:val="00E24299"/>
    <w:rsid w:val="00E25DCC"/>
    <w:rsid w:val="00E33EF7"/>
    <w:rsid w:val="00E446F5"/>
    <w:rsid w:val="00E46471"/>
    <w:rsid w:val="00E61453"/>
    <w:rsid w:val="00E74071"/>
    <w:rsid w:val="00E808CA"/>
    <w:rsid w:val="00E81053"/>
    <w:rsid w:val="00E90011"/>
    <w:rsid w:val="00EC2E6E"/>
    <w:rsid w:val="00EF3D24"/>
    <w:rsid w:val="00F11048"/>
    <w:rsid w:val="00F156C3"/>
    <w:rsid w:val="00F2730F"/>
    <w:rsid w:val="00F3016C"/>
    <w:rsid w:val="00F310F1"/>
    <w:rsid w:val="00F33E46"/>
    <w:rsid w:val="00F415AB"/>
    <w:rsid w:val="00F418DE"/>
    <w:rsid w:val="00F460C7"/>
    <w:rsid w:val="00F61C7F"/>
    <w:rsid w:val="00F61FBF"/>
    <w:rsid w:val="00F620DA"/>
    <w:rsid w:val="00F86F37"/>
    <w:rsid w:val="00F91F5C"/>
    <w:rsid w:val="00F91FDD"/>
    <w:rsid w:val="00FA5DB1"/>
    <w:rsid w:val="00FB0E36"/>
    <w:rsid w:val="00FB2441"/>
    <w:rsid w:val="00FB24A1"/>
    <w:rsid w:val="00FE78E2"/>
    <w:rsid w:val="02BF3146"/>
    <w:rsid w:val="03343958"/>
    <w:rsid w:val="05A4671E"/>
    <w:rsid w:val="0AEA10C7"/>
    <w:rsid w:val="10637874"/>
    <w:rsid w:val="11045DDA"/>
    <w:rsid w:val="14CC0CC1"/>
    <w:rsid w:val="157F7B0B"/>
    <w:rsid w:val="1A4D00C0"/>
    <w:rsid w:val="1D263959"/>
    <w:rsid w:val="1E1A4E66"/>
    <w:rsid w:val="20B56B12"/>
    <w:rsid w:val="23B64B82"/>
    <w:rsid w:val="268028F2"/>
    <w:rsid w:val="29DB1C33"/>
    <w:rsid w:val="36D11C1D"/>
    <w:rsid w:val="3E131CF1"/>
    <w:rsid w:val="3F893F6D"/>
    <w:rsid w:val="54773331"/>
    <w:rsid w:val="579760B3"/>
    <w:rsid w:val="5BB30632"/>
    <w:rsid w:val="623508F7"/>
    <w:rsid w:val="66A5166D"/>
    <w:rsid w:val="75D66CFE"/>
    <w:rsid w:val="7E4D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link w:val="22"/>
    <w:semiHidden/>
    <w:unhideWhenUsed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link w:val="23"/>
    <w:semiHidden/>
    <w:unhideWhenUsed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link w:val="24"/>
    <w:semiHidden/>
    <w:unhideWhenUsed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link w:val="25"/>
    <w:semiHidden/>
    <w:unhideWhenUsed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2"/>
    <w:qFormat/>
    <w:uiPriority w:val="0"/>
    <w:pPr>
      <w:overflowPunct w:val="0"/>
      <w:snapToGrid/>
      <w:textAlignment w:val="baseline"/>
    </w:pPr>
    <w:rPr>
      <w:rFonts w:ascii="Times" w:hAnsi="Times"/>
      <w:sz w:val="20"/>
      <w:szCs w:val="24"/>
    </w:rPr>
  </w:style>
  <w:style w:type="paragraph" w:styleId="12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3">
    <w:name w:val="header"/>
    <w:basedOn w:val="1"/>
    <w:link w:val="3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15">
    <w:name w:val="Table Grid"/>
    <w:basedOn w:val="14"/>
    <w:qFormat/>
    <w:uiPriority w:val="0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eastAsia="宋体" w:cs="Times New Roman"/>
      <w:kern w:val="0"/>
      <w:sz w:val="20"/>
      <w:szCs w:val="2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  <w:lang w:eastAsia="en-US"/>
    </w:rPr>
  </w:style>
  <w:style w:type="character" w:customStyle="1" w:styleId="18">
    <w:name w:val="标题 2 字符"/>
    <w:basedOn w:val="16"/>
    <w:link w:val="3"/>
    <w:qFormat/>
    <w:uiPriority w:val="0"/>
    <w:rPr>
      <w:rFonts w:ascii="Times New Roman" w:hAnsi="Times New Roman" w:eastAsia="宋体" w:cs="Times New Roman"/>
      <w:b/>
      <w:bCs/>
      <w:kern w:val="0"/>
      <w:sz w:val="24"/>
      <w:lang w:eastAsia="en-US"/>
    </w:rPr>
  </w:style>
  <w:style w:type="character" w:customStyle="1" w:styleId="19">
    <w:name w:val="标题 3 字符"/>
    <w:basedOn w:val="16"/>
    <w:link w:val="4"/>
    <w:semiHidden/>
    <w:qFormat/>
    <w:uiPriority w:val="0"/>
    <w:rPr>
      <w:rFonts w:ascii="Times New Roman" w:hAnsi="Times New Roman" w:eastAsia="宋体" w:cs="Times New Roman"/>
      <w:b/>
      <w:kern w:val="0"/>
      <w:sz w:val="22"/>
      <w:lang w:eastAsia="en-US"/>
    </w:rPr>
  </w:style>
  <w:style w:type="character" w:customStyle="1" w:styleId="20">
    <w:name w:val="标题 4 字符"/>
    <w:basedOn w:val="16"/>
    <w:link w:val="5"/>
    <w:semiHidden/>
    <w:qFormat/>
    <w:uiPriority w:val="0"/>
    <w:rPr>
      <w:rFonts w:ascii="Times New Roman" w:hAnsi="Times New Roman" w:eastAsia="宋体" w:cs="Times New Roman"/>
      <w:b/>
      <w:bCs/>
      <w:kern w:val="0"/>
      <w:sz w:val="22"/>
      <w:szCs w:val="28"/>
      <w:lang w:eastAsia="en-US"/>
    </w:rPr>
  </w:style>
  <w:style w:type="character" w:customStyle="1" w:styleId="21">
    <w:name w:val="标题 5 字符"/>
    <w:basedOn w:val="16"/>
    <w:link w:val="6"/>
    <w:semiHidden/>
    <w:qFormat/>
    <w:uiPriority w:val="0"/>
    <w:rPr>
      <w:rFonts w:ascii="Times New Roman" w:hAnsi="Times New Roman" w:eastAsia="宋体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22">
    <w:name w:val="标题 6 字符"/>
    <w:basedOn w:val="16"/>
    <w:link w:val="7"/>
    <w:semiHidden/>
    <w:qFormat/>
    <w:uiPriority w:val="0"/>
    <w:rPr>
      <w:rFonts w:ascii="Times New Roman" w:hAnsi="Times New Roman" w:eastAsia="宋体" w:cs="Times New Roman"/>
      <w:b/>
      <w:bCs/>
      <w:kern w:val="0"/>
      <w:sz w:val="22"/>
      <w:lang w:eastAsia="en-US"/>
    </w:rPr>
  </w:style>
  <w:style w:type="character" w:customStyle="1" w:styleId="23">
    <w:name w:val="标题 7 字符"/>
    <w:basedOn w:val="16"/>
    <w:link w:val="8"/>
    <w:semiHidden/>
    <w:qFormat/>
    <w:uiPriority w:val="0"/>
    <w:rPr>
      <w:rFonts w:ascii="Times New Roman" w:hAnsi="Times New Roman" w:eastAsia="宋体" w:cs="Times New Roman"/>
      <w:kern w:val="0"/>
      <w:sz w:val="24"/>
      <w:szCs w:val="24"/>
      <w:lang w:eastAsia="en-US"/>
    </w:rPr>
  </w:style>
  <w:style w:type="character" w:customStyle="1" w:styleId="24">
    <w:name w:val="标题 8 字符"/>
    <w:basedOn w:val="16"/>
    <w:link w:val="9"/>
    <w:semiHidden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eastAsia="en-US"/>
    </w:rPr>
  </w:style>
  <w:style w:type="character" w:customStyle="1" w:styleId="25">
    <w:name w:val="标题 9 字符"/>
    <w:basedOn w:val="16"/>
    <w:link w:val="10"/>
    <w:semiHidden/>
    <w:qFormat/>
    <w:uiPriority w:val="0"/>
    <w:rPr>
      <w:rFonts w:ascii="Arial" w:hAnsi="Arial" w:eastAsia="宋体" w:cs="Arial"/>
      <w:kern w:val="0"/>
      <w:sz w:val="22"/>
      <w:lang w:eastAsia="en-US"/>
    </w:rPr>
  </w:style>
  <w:style w:type="character" w:customStyle="1" w:styleId="26">
    <w:name w:val="列表段落 字符"/>
    <w:link w:val="27"/>
    <w:qFormat/>
    <w:locked/>
    <w:uiPriority w:val="34"/>
    <w:rPr>
      <w:rFonts w:ascii="Century" w:hAnsi="Century" w:eastAsia="MS Mincho"/>
      <w:lang w:eastAsia="ja-JP"/>
    </w:rPr>
  </w:style>
  <w:style w:type="paragraph" w:styleId="27">
    <w:name w:val="List Paragraph"/>
    <w:basedOn w:val="1"/>
    <w:link w:val="26"/>
    <w:qFormat/>
    <w:uiPriority w:val="34"/>
    <w:pPr>
      <w:widowControl w:val="0"/>
      <w:autoSpaceDE/>
      <w:autoSpaceDN/>
      <w:adjustRightInd/>
      <w:snapToGrid/>
      <w:spacing w:after="0"/>
      <w:ind w:left="840" w:leftChars="400"/>
    </w:pPr>
    <w:rPr>
      <w:rFonts w:ascii="Century" w:hAnsi="Century" w:eastAsia="MS Mincho" w:cstheme="minorBidi"/>
      <w:kern w:val="2"/>
      <w:sz w:val="21"/>
      <w:lang w:eastAsia="ja-JP"/>
    </w:rPr>
  </w:style>
  <w:style w:type="paragraph" w:customStyle="1" w:styleId="28">
    <w:name w:val="References"/>
    <w:basedOn w:val="1"/>
    <w:uiPriority w:val="0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29">
    <w:name w:val="Eqn"/>
    <w:basedOn w:val="1"/>
    <w:qFormat/>
    <w:uiPriority w:val="0"/>
    <w:pPr>
      <w:tabs>
        <w:tab w:val="center" w:pos="4608"/>
        <w:tab w:val="right" w:pos="9216"/>
      </w:tabs>
    </w:pPr>
    <w:rPr>
      <w:lang w:eastAsia="ja-JP"/>
    </w:rPr>
  </w:style>
  <w:style w:type="character" w:customStyle="1" w:styleId="30">
    <w:name w:val="页眉 字符"/>
    <w:basedOn w:val="16"/>
    <w:link w:val="13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31">
    <w:name w:val="页脚 字符"/>
    <w:basedOn w:val="16"/>
    <w:link w:val="12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32">
    <w:name w:val="正文文本 字符"/>
    <w:basedOn w:val="16"/>
    <w:link w:val="11"/>
    <w:qFormat/>
    <w:uiPriority w:val="0"/>
    <w:rPr>
      <w:rFonts w:ascii="Times" w:hAnsi="Times" w:eastAsia="宋体" w:cs="Times New Roman"/>
      <w:kern w:val="0"/>
      <w:sz w:val="20"/>
      <w:szCs w:val="24"/>
      <w:lang w:eastAsia="en-US"/>
    </w:rPr>
  </w:style>
  <w:style w:type="paragraph" w:customStyle="1" w:styleId="33">
    <w:name w:val="Proposal"/>
    <w:basedOn w:val="11"/>
    <w:qFormat/>
    <w:uiPriority w:val="0"/>
    <w:pPr>
      <w:widowControl w:val="0"/>
      <w:numPr>
        <w:ilvl w:val="0"/>
        <w:numId w:val="3"/>
      </w:numPr>
      <w:tabs>
        <w:tab w:val="left" w:pos="360"/>
        <w:tab w:val="left" w:pos="1701"/>
        <w:tab w:val="clear" w:pos="1304"/>
      </w:tabs>
      <w:overflowPunct/>
      <w:autoSpaceDE/>
      <w:autoSpaceDN/>
      <w:adjustRightInd/>
      <w:ind w:left="1701" w:hanging="1701"/>
      <w:textAlignment w:val="auto"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paragraph" w:customStyle="1" w:styleId="34">
    <w:name w:val="Observation"/>
    <w:basedOn w:val="1"/>
    <w:qFormat/>
    <w:uiPriority w:val="0"/>
    <w:pPr>
      <w:widowControl w:val="0"/>
      <w:numPr>
        <w:ilvl w:val="0"/>
        <w:numId w:val="4"/>
      </w:numPr>
      <w:tabs>
        <w:tab w:val="left" w:pos="1701"/>
      </w:tabs>
      <w:autoSpaceDE/>
      <w:autoSpaceDN/>
      <w:adjustRightInd/>
      <w:snapToGrid/>
      <w:ind w:left="1701" w:hanging="1701"/>
    </w:pPr>
    <w:rPr>
      <w:rFonts w:ascii="Arial" w:hAnsi="Arial" w:cstheme="minorBidi"/>
      <w:b/>
      <w:bCs/>
      <w:kern w:val="2"/>
      <w:sz w:val="21"/>
      <w:lang w:eastAsia="ja-JP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overflowPunct w:val="0"/>
      <w:snapToGrid/>
      <w:spacing w:after="0" w:line="259" w:lineRule="auto"/>
      <w:ind w:left="1622" w:hanging="363"/>
      <w:jc w:val="left"/>
    </w:pPr>
    <w:rPr>
      <w:rFonts w:ascii="Arial" w:hAnsi="Arial" w:eastAsia="MS Mincho"/>
      <w:sz w:val="20"/>
      <w:szCs w:val="24"/>
      <w:lang w:val="zh-CN" w:eastAsia="zh-CN"/>
    </w:rPr>
  </w:style>
  <w:style w:type="character" w:customStyle="1" w:styleId="36">
    <w:name w:val="Doc-text2 Char"/>
    <w:link w:val="35"/>
    <w:qFormat/>
    <w:locked/>
    <w:uiPriority w:val="0"/>
    <w:rPr>
      <w:rFonts w:ascii="Arial" w:hAnsi="Arial" w:eastAsia="MS Mincho" w:cs="Times New Roman"/>
      <w:kern w:val="0"/>
      <w:sz w:val="20"/>
      <w:szCs w:val="24"/>
      <w:lang w:val="zh-CN"/>
    </w:rPr>
  </w:style>
  <w:style w:type="character" w:customStyle="1" w:styleId="37">
    <w:name w:val="TAL Char"/>
    <w:link w:val="3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38">
    <w:name w:val="TAL"/>
    <w:basedOn w:val="1"/>
    <w:link w:val="37"/>
    <w:qFormat/>
    <w:uiPriority w:val="0"/>
    <w:pPr>
      <w:keepNext/>
      <w:keepLines/>
      <w:overflowPunct w:val="0"/>
      <w:snapToGrid/>
      <w:spacing w:after="0"/>
      <w:jc w:val="left"/>
    </w:pPr>
    <w:rPr>
      <w:rFonts w:ascii="Arial" w:hAnsi="Arial" w:eastAsia="Times New Roman"/>
      <w:kern w:val="2"/>
      <w:sz w:val="18"/>
      <w:szCs w:val="20"/>
      <w:lang w:val="en-GB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1242</Words>
  <Characters>7086</Characters>
  <Lines>59</Lines>
  <Paragraphs>16</Paragraphs>
  <TotalTime>1</TotalTime>
  <ScaleCrop>false</ScaleCrop>
  <LinksUpToDate>false</LinksUpToDate>
  <CharactersWithSpaces>8312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2021-07-11T19:54:00Z</dcterms:created>
  <dc:creator>z lj</dc:creator>
  <cp:lastModifiedBy>86138</cp:lastModifiedBy>
  <dcterms:modified xsi:type="dcterms:W3CDTF">2021-08-07T04:09:53Z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E4B2C694236E41D78A8F69EBF4107640</vt:lpwstr>
  </property>
</Properties>
</file>